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6AE06" w14:textId="2FA6A048" w:rsidR="0014166B" w:rsidRPr="001C1B9C" w:rsidRDefault="0014166B" w:rsidP="002D1B73">
      <w:pPr>
        <w:tabs>
          <w:tab w:val="left" w:pos="242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16353E" w:rsidRPr="001C1B9C" w14:paraId="67A6AA54" w14:textId="77777777" w:rsidTr="00724367">
        <w:tc>
          <w:tcPr>
            <w:tcW w:w="5524" w:type="dxa"/>
          </w:tcPr>
          <w:p w14:paraId="4EB159BA" w14:textId="2FD72FCD" w:rsidR="006E538B" w:rsidRPr="001C1B9C" w:rsidRDefault="006E538B" w:rsidP="00BA1A13">
            <w:pPr>
              <w:ind w:left="-114"/>
              <w:rPr>
                <w:color w:val="000000" w:themeColor="text1"/>
              </w:rPr>
            </w:pPr>
            <w:r w:rsidRPr="001C1B9C">
              <w:rPr>
                <w:color w:val="000000" w:themeColor="text1"/>
              </w:rPr>
              <w:t>Basingstoke and Deane B</w:t>
            </w:r>
            <w:r w:rsidR="004748FE" w:rsidRPr="001C1B9C">
              <w:rPr>
                <w:color w:val="000000" w:themeColor="text1"/>
              </w:rPr>
              <w:t>o</w:t>
            </w:r>
            <w:r w:rsidRPr="001C1B9C">
              <w:rPr>
                <w:color w:val="000000" w:themeColor="text1"/>
              </w:rPr>
              <w:t>rough Council</w:t>
            </w:r>
          </w:p>
          <w:p w14:paraId="21C7D589" w14:textId="77777777" w:rsidR="006E538B" w:rsidRPr="001C1B9C" w:rsidRDefault="006E538B" w:rsidP="006E538B">
            <w:pPr>
              <w:ind w:left="-107"/>
              <w:rPr>
                <w:color w:val="000000" w:themeColor="text1"/>
              </w:rPr>
            </w:pPr>
            <w:r w:rsidRPr="001C1B9C">
              <w:rPr>
                <w:color w:val="000000" w:themeColor="text1"/>
              </w:rPr>
              <w:t xml:space="preserve">Civic Offices </w:t>
            </w:r>
          </w:p>
          <w:p w14:paraId="5E7E9A07" w14:textId="77777777" w:rsidR="006E538B" w:rsidRPr="001C1B9C" w:rsidRDefault="006E538B" w:rsidP="006E538B">
            <w:pPr>
              <w:ind w:left="-107"/>
              <w:rPr>
                <w:color w:val="000000" w:themeColor="text1"/>
              </w:rPr>
            </w:pPr>
            <w:r w:rsidRPr="001C1B9C">
              <w:rPr>
                <w:color w:val="000000" w:themeColor="text1"/>
              </w:rPr>
              <w:t xml:space="preserve">London Road </w:t>
            </w:r>
          </w:p>
          <w:p w14:paraId="113F186E" w14:textId="77777777" w:rsidR="006E538B" w:rsidRPr="001C1B9C" w:rsidRDefault="006E538B" w:rsidP="006E538B">
            <w:pPr>
              <w:ind w:left="-107"/>
              <w:rPr>
                <w:color w:val="000000" w:themeColor="text1"/>
              </w:rPr>
            </w:pPr>
            <w:r w:rsidRPr="001C1B9C">
              <w:rPr>
                <w:color w:val="000000" w:themeColor="text1"/>
              </w:rPr>
              <w:t xml:space="preserve">Basingstoke </w:t>
            </w:r>
          </w:p>
          <w:p w14:paraId="471C7A11" w14:textId="39E7EB6A" w:rsidR="006E538B" w:rsidRPr="001C1B9C" w:rsidRDefault="006E538B" w:rsidP="006E538B">
            <w:pPr>
              <w:ind w:left="-107"/>
              <w:rPr>
                <w:color w:val="000000" w:themeColor="text1"/>
              </w:rPr>
            </w:pPr>
            <w:r w:rsidRPr="001C1B9C">
              <w:rPr>
                <w:color w:val="000000" w:themeColor="text1"/>
              </w:rPr>
              <w:t xml:space="preserve">RG21 4AH </w:t>
            </w:r>
          </w:p>
          <w:p w14:paraId="585A35CA" w14:textId="3D50901C" w:rsidR="006E538B" w:rsidRPr="001C1B9C" w:rsidRDefault="006E538B">
            <w:pPr>
              <w:rPr>
                <w:color w:val="FF0000"/>
              </w:rPr>
            </w:pPr>
          </w:p>
        </w:tc>
        <w:tc>
          <w:tcPr>
            <w:tcW w:w="3492" w:type="dxa"/>
          </w:tcPr>
          <w:p w14:paraId="245231BC" w14:textId="535927EE" w:rsidR="006E538B" w:rsidRPr="001C1B9C" w:rsidRDefault="0016353E" w:rsidP="00BA1A13">
            <w:pPr>
              <w:ind w:left="1603"/>
              <w:jc w:val="right"/>
              <w:rPr>
                <w:rFonts w:ascii="Verdana" w:eastAsia="Times New Roman" w:hAnsi="Verdana" w:cs="Times New Roman"/>
                <w:color w:val="FF0000"/>
                <w:sz w:val="18"/>
                <w:szCs w:val="18"/>
                <w:lang w:eastAsia="en-GB"/>
              </w:rPr>
            </w:pPr>
            <w:r w:rsidRPr="001C1B9C">
              <w:rPr>
                <w:rFonts w:ascii="Verdana" w:eastAsia="Times New Roman" w:hAnsi="Verdana" w:cs="Times New Roman"/>
                <w:color w:val="FF0000"/>
                <w:sz w:val="20"/>
                <w:szCs w:val="20"/>
                <w:lang w:eastAsia="en-GB"/>
              </w:rPr>
              <w:t xml:space="preserve">[insert your name and address here] </w:t>
            </w:r>
          </w:p>
          <w:p w14:paraId="17CE7D39" w14:textId="6B9A94FA" w:rsidR="006E538B" w:rsidRPr="001C1B9C" w:rsidRDefault="006E538B" w:rsidP="00BA1A13">
            <w:pPr>
              <w:ind w:left="1603"/>
              <w:jc w:val="right"/>
              <w:rPr>
                <w:rFonts w:ascii="Verdana" w:eastAsia="Times New Roman" w:hAnsi="Verdana" w:cs="Times New Roman"/>
                <w:color w:val="FF0000"/>
                <w:sz w:val="18"/>
                <w:szCs w:val="18"/>
                <w:lang w:eastAsia="en-GB"/>
              </w:rPr>
            </w:pPr>
          </w:p>
        </w:tc>
      </w:tr>
      <w:tr w:rsidR="00724367" w:rsidRPr="001C1B9C" w14:paraId="6DCBDBFE" w14:textId="77777777" w:rsidTr="00724367">
        <w:tc>
          <w:tcPr>
            <w:tcW w:w="5524" w:type="dxa"/>
          </w:tcPr>
          <w:p w14:paraId="35C22FF3" w14:textId="564F0454" w:rsidR="00724367" w:rsidRPr="001C1B9C" w:rsidRDefault="00724367" w:rsidP="0014166B">
            <w:pPr>
              <w:ind w:right="-1817"/>
              <w:rPr>
                <w:color w:val="FF0000"/>
              </w:rPr>
            </w:pPr>
          </w:p>
        </w:tc>
        <w:tc>
          <w:tcPr>
            <w:tcW w:w="3492" w:type="dxa"/>
          </w:tcPr>
          <w:p w14:paraId="75B64D99" w14:textId="202A7A0B" w:rsidR="00724367" w:rsidRPr="001C1B9C" w:rsidRDefault="0016353E" w:rsidP="006E538B">
            <w:pPr>
              <w:ind w:left="1744"/>
              <w:jc w:val="right"/>
              <w:rPr>
                <w:color w:val="FF0000"/>
              </w:rPr>
            </w:pPr>
            <w:r w:rsidRPr="001C1B9C">
              <w:rPr>
                <w:color w:val="FF0000"/>
              </w:rPr>
              <w:t>[Insert date here]</w:t>
            </w:r>
          </w:p>
        </w:tc>
      </w:tr>
    </w:tbl>
    <w:p w14:paraId="69F2D562" w14:textId="40C39164" w:rsidR="00742671" w:rsidRPr="001C1B9C" w:rsidRDefault="00742671"/>
    <w:p w14:paraId="1E653201" w14:textId="77777777" w:rsidR="00724367" w:rsidRPr="001C1B9C" w:rsidRDefault="00724367">
      <w:pPr>
        <w:rPr>
          <w:b/>
          <w:bCs/>
          <w:color w:val="FF0000"/>
          <w:u w:val="single"/>
        </w:rPr>
      </w:pPr>
    </w:p>
    <w:p w14:paraId="5C82C273" w14:textId="3EC8404D" w:rsidR="00724367" w:rsidRPr="001C1B9C" w:rsidRDefault="006E538B">
      <w:pPr>
        <w:rPr>
          <w:b/>
          <w:bCs/>
          <w:color w:val="000000" w:themeColor="text1"/>
          <w:sz w:val="28"/>
          <w:szCs w:val="28"/>
          <w:u w:val="single"/>
        </w:rPr>
      </w:pPr>
      <w:r w:rsidRPr="001C1B9C">
        <w:rPr>
          <w:b/>
          <w:bCs/>
          <w:color w:val="000000" w:themeColor="text1"/>
          <w:sz w:val="28"/>
          <w:szCs w:val="28"/>
          <w:u w:val="single"/>
        </w:rPr>
        <w:t xml:space="preserve">Basingstoke and Deane Local Plan Update – response to </w:t>
      </w:r>
      <w:r w:rsidR="004F3DB9" w:rsidRPr="001C1B9C">
        <w:rPr>
          <w:b/>
          <w:bCs/>
          <w:color w:val="000000" w:themeColor="text1"/>
          <w:sz w:val="28"/>
          <w:szCs w:val="28"/>
          <w:u w:val="single"/>
        </w:rPr>
        <w:t>c</w:t>
      </w:r>
      <w:r w:rsidRPr="001C1B9C">
        <w:rPr>
          <w:b/>
          <w:bCs/>
          <w:color w:val="000000" w:themeColor="text1"/>
          <w:sz w:val="28"/>
          <w:szCs w:val="28"/>
          <w:u w:val="single"/>
        </w:rPr>
        <w:t>onsultation</w:t>
      </w:r>
    </w:p>
    <w:p w14:paraId="0FAD1408" w14:textId="77777777" w:rsidR="006E538B" w:rsidRPr="001C1B9C" w:rsidRDefault="006E538B">
      <w:pPr>
        <w:rPr>
          <w:color w:val="000000" w:themeColor="text1"/>
        </w:rPr>
      </w:pPr>
    </w:p>
    <w:p w14:paraId="3D1ABCFD" w14:textId="157A4B72" w:rsidR="00724367" w:rsidRPr="001C1B9C" w:rsidRDefault="00724367">
      <w:pPr>
        <w:rPr>
          <w:color w:val="000000" w:themeColor="text1"/>
        </w:rPr>
      </w:pPr>
      <w:r w:rsidRPr="001C1B9C">
        <w:rPr>
          <w:color w:val="000000" w:themeColor="text1"/>
        </w:rPr>
        <w:t>Dear Sir</w:t>
      </w:r>
      <w:r w:rsidR="0014166B" w:rsidRPr="001C1B9C">
        <w:rPr>
          <w:color w:val="000000" w:themeColor="text1"/>
        </w:rPr>
        <w:t xml:space="preserve"> or Madam</w:t>
      </w:r>
      <w:r w:rsidRPr="001C1B9C">
        <w:rPr>
          <w:color w:val="000000" w:themeColor="text1"/>
        </w:rPr>
        <w:t>,</w:t>
      </w:r>
    </w:p>
    <w:p w14:paraId="6EE5859F" w14:textId="77777777" w:rsidR="00742671" w:rsidRPr="001C1B9C" w:rsidRDefault="00742671"/>
    <w:p w14:paraId="5567A694" w14:textId="7ECF52C8" w:rsidR="00742671" w:rsidRPr="001C1B9C" w:rsidRDefault="00742671" w:rsidP="00742671">
      <w:pPr>
        <w:jc w:val="both"/>
      </w:pPr>
      <w:r w:rsidRPr="001C1B9C">
        <w:t>This letter comments on the draft Local Plan</w:t>
      </w:r>
      <w:r w:rsidR="0016353E" w:rsidRPr="001C1B9C">
        <w:t xml:space="preserve"> update for Basingstoke and Deane</w:t>
      </w:r>
      <w:r w:rsidRPr="001C1B9C">
        <w:t>.</w:t>
      </w:r>
    </w:p>
    <w:p w14:paraId="29482D2B" w14:textId="26F9FA1E" w:rsidR="0016353E" w:rsidRPr="001C1B9C" w:rsidRDefault="0016353E" w:rsidP="00742671">
      <w:pPr>
        <w:jc w:val="both"/>
      </w:pPr>
    </w:p>
    <w:p w14:paraId="4A31B55E" w14:textId="64FA8B94" w:rsidR="0016353E" w:rsidRPr="001C1B9C" w:rsidRDefault="0016353E" w:rsidP="0016353E">
      <w:pPr>
        <w:jc w:val="both"/>
      </w:pPr>
      <w:r w:rsidRPr="001C1B9C">
        <w:rPr>
          <w:color w:val="000000" w:themeColor="text1"/>
        </w:rPr>
        <w:t xml:space="preserve">Over the last decade, </w:t>
      </w:r>
      <w:r w:rsidR="006B1B2C" w:rsidRPr="001C1B9C">
        <w:rPr>
          <w:color w:val="000000" w:themeColor="text1"/>
        </w:rPr>
        <w:t>the area</w:t>
      </w:r>
      <w:r w:rsidRPr="001C1B9C">
        <w:rPr>
          <w:color w:val="000000" w:themeColor="text1"/>
        </w:rPr>
        <w:t xml:space="preserve"> has entered a new phase of accelerated development, impacting our local </w:t>
      </w:r>
      <w:r w:rsidR="00972B5A" w:rsidRPr="001C1B9C">
        <w:rPr>
          <w:color w:val="000000" w:themeColor="text1"/>
        </w:rPr>
        <w:t>environment</w:t>
      </w:r>
      <w:r w:rsidRPr="001C1B9C">
        <w:rPr>
          <w:color w:val="000000" w:themeColor="text1"/>
        </w:rPr>
        <w:t xml:space="preserve">. Whilst there is a need for local housing, </w:t>
      </w:r>
      <w:r w:rsidRPr="001C1B9C">
        <w:t xml:space="preserve">it is important that this is balanced against the </w:t>
      </w:r>
      <w:r w:rsidR="006B1B2C" w:rsidRPr="001C1B9C">
        <w:t>responsibility</w:t>
      </w:r>
      <w:r w:rsidRPr="001C1B9C">
        <w:t xml:space="preserve"> to avoid further </w:t>
      </w:r>
      <w:r w:rsidR="00972B5A" w:rsidRPr="001C1B9C">
        <w:t xml:space="preserve">environmental </w:t>
      </w:r>
      <w:r w:rsidRPr="001C1B9C">
        <w:t xml:space="preserve">damage. </w:t>
      </w:r>
      <w:r w:rsidR="006B1B2C" w:rsidRPr="001C1B9C">
        <w:t>I</w:t>
      </w:r>
      <w:r w:rsidRPr="001C1B9C">
        <w:t xml:space="preserve"> underst</w:t>
      </w:r>
      <w:r w:rsidR="006B1B2C" w:rsidRPr="001C1B9C">
        <w:t xml:space="preserve">and </w:t>
      </w:r>
      <w:r w:rsidRPr="001C1B9C">
        <w:t xml:space="preserve">that the </w:t>
      </w:r>
      <w:r w:rsidR="007E2CAB" w:rsidRPr="001C1B9C">
        <w:t>C</w:t>
      </w:r>
      <w:r w:rsidRPr="001C1B9C">
        <w:t xml:space="preserve">ouncil </w:t>
      </w:r>
      <w:r w:rsidRPr="001C1B9C">
        <w:rPr>
          <w:i/>
          <w:iCs/>
        </w:rPr>
        <w:t xml:space="preserve">does not </w:t>
      </w:r>
      <w:r w:rsidR="006B1B2C" w:rsidRPr="001C1B9C">
        <w:rPr>
          <w:i/>
          <w:iCs/>
        </w:rPr>
        <w:t>agree with</w:t>
      </w:r>
      <w:r w:rsidRPr="001C1B9C">
        <w:rPr>
          <w:i/>
          <w:iCs/>
        </w:rPr>
        <w:t xml:space="preserve"> the proposed house</w:t>
      </w:r>
      <w:r w:rsidR="001C1B9C">
        <w:rPr>
          <w:i/>
          <w:iCs/>
        </w:rPr>
        <w:t xml:space="preserve"> </w:t>
      </w:r>
      <w:r w:rsidRPr="001C1B9C">
        <w:rPr>
          <w:i/>
          <w:iCs/>
        </w:rPr>
        <w:t>building target</w:t>
      </w:r>
      <w:r w:rsidRPr="001C1B9C">
        <w:t xml:space="preserve"> </w:t>
      </w:r>
      <w:r w:rsidR="006B1B2C" w:rsidRPr="001C1B9C">
        <w:t>(</w:t>
      </w:r>
      <w:r w:rsidRPr="001C1B9C">
        <w:t>set by central Government</w:t>
      </w:r>
      <w:r w:rsidR="007E2CAB" w:rsidRPr="001C1B9C">
        <w:t>),</w:t>
      </w:r>
      <w:r w:rsidRPr="001C1B9C">
        <w:t xml:space="preserve"> and </w:t>
      </w:r>
      <w:r w:rsidR="00972B5A" w:rsidRPr="001C1B9C">
        <w:t xml:space="preserve">I </w:t>
      </w:r>
      <w:r w:rsidR="006B1B2C" w:rsidRPr="001C1B9C">
        <w:rPr>
          <w:color w:val="000000" w:themeColor="text1"/>
        </w:rPr>
        <w:t>support efforts to reduce this to a more realistic number</w:t>
      </w:r>
      <w:r w:rsidR="00972B5A" w:rsidRPr="001C1B9C">
        <w:rPr>
          <w:color w:val="000000" w:themeColor="text1"/>
        </w:rPr>
        <w:t>.</w:t>
      </w:r>
    </w:p>
    <w:p w14:paraId="70E190CF" w14:textId="77777777" w:rsidR="0016353E" w:rsidRPr="001C1B9C" w:rsidRDefault="0016353E" w:rsidP="0016353E">
      <w:pPr>
        <w:jc w:val="both"/>
      </w:pPr>
    </w:p>
    <w:p w14:paraId="2322ACF7" w14:textId="27DD9000" w:rsidR="006B1B2C" w:rsidRPr="001C1B9C" w:rsidRDefault="00FF0229" w:rsidP="00FF0229">
      <w:pPr>
        <w:jc w:val="both"/>
      </w:pPr>
      <w:r w:rsidRPr="001C1B9C">
        <w:t>Ahead of discussions about housing numbers being finalised</w:t>
      </w:r>
      <w:r w:rsidR="006B1B2C" w:rsidRPr="001C1B9C">
        <w:t xml:space="preserve">, the Local Plan needs to </w:t>
      </w:r>
      <w:r w:rsidR="0016353E" w:rsidRPr="001C1B9C">
        <w:rPr>
          <w:color w:val="000000" w:themeColor="text1"/>
        </w:rPr>
        <w:t xml:space="preserve">set objective standards to </w:t>
      </w:r>
      <w:r w:rsidR="006B1B2C" w:rsidRPr="001C1B9C">
        <w:rPr>
          <w:color w:val="000000" w:themeColor="text1"/>
        </w:rPr>
        <w:t>govern</w:t>
      </w:r>
      <w:r w:rsidR="0016353E" w:rsidRPr="001C1B9C">
        <w:rPr>
          <w:color w:val="000000" w:themeColor="text1"/>
        </w:rPr>
        <w:t xml:space="preserve"> planning decisions, ensuring that future development is consistent with </w:t>
      </w:r>
      <w:r w:rsidR="006B1B2C" w:rsidRPr="001C1B9C">
        <w:rPr>
          <w:color w:val="000000" w:themeColor="text1"/>
        </w:rPr>
        <w:t>y</w:t>
      </w:r>
      <w:r w:rsidR="0016353E" w:rsidRPr="001C1B9C">
        <w:rPr>
          <w:color w:val="000000" w:themeColor="text1"/>
        </w:rPr>
        <w:t xml:space="preserve">our </w:t>
      </w:r>
      <w:r w:rsidR="006B1B2C" w:rsidRPr="001C1B9C">
        <w:rPr>
          <w:color w:val="000000" w:themeColor="text1"/>
        </w:rPr>
        <w:t>obligation</w:t>
      </w:r>
      <w:r w:rsidR="00972B5A" w:rsidRPr="001C1B9C">
        <w:rPr>
          <w:color w:val="000000" w:themeColor="text1"/>
        </w:rPr>
        <w:t>s</w:t>
      </w:r>
      <w:r w:rsidR="006B1B2C" w:rsidRPr="001C1B9C">
        <w:rPr>
          <w:color w:val="000000" w:themeColor="text1"/>
        </w:rPr>
        <w:t xml:space="preserve"> to </w:t>
      </w:r>
      <w:r w:rsidR="0016353E" w:rsidRPr="001C1B9C">
        <w:rPr>
          <w:color w:val="000000" w:themeColor="text1"/>
        </w:rPr>
        <w:t xml:space="preserve">address the Climate Change and Ecological Emergencies. </w:t>
      </w:r>
    </w:p>
    <w:p w14:paraId="51EF7260" w14:textId="7879FFC5" w:rsidR="006B1B2C" w:rsidRPr="001C1B9C" w:rsidRDefault="006B1B2C" w:rsidP="00742671">
      <w:pPr>
        <w:jc w:val="both"/>
      </w:pPr>
    </w:p>
    <w:p w14:paraId="7F306E7C" w14:textId="5F4EB6FC" w:rsidR="003C5D8D" w:rsidRPr="001C1B9C" w:rsidRDefault="003C5D8D" w:rsidP="003C5D8D">
      <w:pPr>
        <w:jc w:val="both"/>
        <w:rPr>
          <w:b/>
          <w:bCs/>
          <w:u w:val="single"/>
        </w:rPr>
      </w:pPr>
      <w:r w:rsidRPr="001C1B9C">
        <w:rPr>
          <w:b/>
          <w:bCs/>
          <w:u w:val="single"/>
        </w:rPr>
        <w:t>Local Nature Recovery Strategy</w:t>
      </w:r>
    </w:p>
    <w:p w14:paraId="000B7659" w14:textId="77777777" w:rsidR="003C5D8D" w:rsidRPr="001C1B9C" w:rsidRDefault="003C5D8D" w:rsidP="003C5D8D">
      <w:pPr>
        <w:jc w:val="both"/>
        <w:rPr>
          <w:color w:val="000000" w:themeColor="text1"/>
        </w:rPr>
      </w:pPr>
    </w:p>
    <w:p w14:paraId="7A97BCE9" w14:textId="0294DA85" w:rsidR="008A23C8" w:rsidRPr="001C1B9C" w:rsidRDefault="00FF0229" w:rsidP="003C5D8D">
      <w:pPr>
        <w:jc w:val="both"/>
        <w:rPr>
          <w:b/>
          <w:bCs/>
          <w:color w:val="000000" w:themeColor="text1"/>
        </w:rPr>
      </w:pPr>
      <w:r w:rsidRPr="001C1B9C">
        <w:rPr>
          <w:color w:val="000000" w:themeColor="text1"/>
        </w:rPr>
        <w:t xml:space="preserve">Consultation is currently underway </w:t>
      </w:r>
      <w:r w:rsidR="007E2CAB" w:rsidRPr="001C1B9C">
        <w:rPr>
          <w:color w:val="000000" w:themeColor="text1"/>
        </w:rPr>
        <w:t>on</w:t>
      </w:r>
      <w:r w:rsidR="00284A96" w:rsidRPr="001C1B9C">
        <w:rPr>
          <w:color w:val="000000" w:themeColor="text1"/>
        </w:rPr>
        <w:t xml:space="preserve"> the Local Nature Recovery Strategy, which aims to identify areas to be protected across Hampshire. Whilst the Local Plan includes a list of such ‘Green Infrastructure’ </w:t>
      </w:r>
      <w:r w:rsidR="007E2CAB" w:rsidRPr="001C1B9C">
        <w:rPr>
          <w:color w:val="000000" w:themeColor="text1"/>
        </w:rPr>
        <w:t>it</w:t>
      </w:r>
      <w:r w:rsidR="00284A96" w:rsidRPr="001C1B9C">
        <w:rPr>
          <w:color w:val="000000" w:themeColor="text1"/>
        </w:rPr>
        <w:t xml:space="preserve"> is currently limited</w:t>
      </w:r>
      <w:r w:rsidR="007E2CAB" w:rsidRPr="001C1B9C">
        <w:rPr>
          <w:color w:val="000000" w:themeColor="text1"/>
        </w:rPr>
        <w:t xml:space="preserve">, and a </w:t>
      </w:r>
      <w:r w:rsidR="003C5D8D" w:rsidRPr="001C1B9C">
        <w:rPr>
          <w:color w:val="000000" w:themeColor="text1"/>
        </w:rPr>
        <w:t xml:space="preserve">full list </w:t>
      </w:r>
      <w:r w:rsidR="00284A96" w:rsidRPr="001C1B9C">
        <w:rPr>
          <w:color w:val="000000" w:themeColor="text1"/>
        </w:rPr>
        <w:t xml:space="preserve">should be incorporated into </w:t>
      </w:r>
      <w:r w:rsidR="003C5D8D" w:rsidRPr="001C1B9C">
        <w:rPr>
          <w:color w:val="000000" w:themeColor="text1"/>
        </w:rPr>
        <w:t xml:space="preserve">the </w:t>
      </w:r>
      <w:r w:rsidR="00284A96" w:rsidRPr="001C1B9C">
        <w:rPr>
          <w:color w:val="000000" w:themeColor="text1"/>
        </w:rPr>
        <w:t xml:space="preserve">final version of the </w:t>
      </w:r>
      <w:r w:rsidR="007E2CAB" w:rsidRPr="001C1B9C">
        <w:rPr>
          <w:color w:val="000000" w:themeColor="text1"/>
        </w:rPr>
        <w:t>p</w:t>
      </w:r>
      <w:r w:rsidR="003C5D8D" w:rsidRPr="001C1B9C">
        <w:rPr>
          <w:color w:val="000000" w:themeColor="text1"/>
        </w:rPr>
        <w:t>lan</w:t>
      </w:r>
      <w:r w:rsidR="007E2CAB" w:rsidRPr="001C1B9C">
        <w:rPr>
          <w:color w:val="000000" w:themeColor="text1"/>
        </w:rPr>
        <w:t xml:space="preserve"> (</w:t>
      </w:r>
      <w:r w:rsidR="00284A96" w:rsidRPr="001C1B9C">
        <w:rPr>
          <w:color w:val="000000" w:themeColor="text1"/>
        </w:rPr>
        <w:t>capturing new areas identified in the</w:t>
      </w:r>
      <w:r w:rsidR="00284A96" w:rsidRPr="001C1B9C">
        <w:rPr>
          <w:b/>
          <w:bCs/>
          <w:color w:val="000000" w:themeColor="text1"/>
        </w:rPr>
        <w:t xml:space="preserve"> </w:t>
      </w:r>
      <w:r w:rsidR="00284A96" w:rsidRPr="001C1B9C">
        <w:rPr>
          <w:color w:val="000000" w:themeColor="text1"/>
        </w:rPr>
        <w:t>Local Nature Recovery Strategy</w:t>
      </w:r>
      <w:r w:rsidR="007E2CAB" w:rsidRPr="001C1B9C">
        <w:rPr>
          <w:color w:val="000000" w:themeColor="text1"/>
        </w:rPr>
        <w:t>)</w:t>
      </w:r>
      <w:r w:rsidR="00284A96" w:rsidRPr="001C1B9C">
        <w:rPr>
          <w:color w:val="000000" w:themeColor="text1"/>
        </w:rPr>
        <w:t xml:space="preserve">. </w:t>
      </w:r>
      <w:r w:rsidR="00932E2C" w:rsidRPr="001C1B9C">
        <w:rPr>
          <w:color w:val="000000" w:themeColor="text1"/>
        </w:rPr>
        <w:t>The</w:t>
      </w:r>
      <w:r w:rsidR="00284A96" w:rsidRPr="001C1B9C">
        <w:rPr>
          <w:color w:val="000000" w:themeColor="text1"/>
        </w:rPr>
        <w:t xml:space="preserve"> Local Plan should also incorporate a map, showing the Green Infrastructure assets across the borough </w:t>
      </w:r>
      <w:r w:rsidR="00284A96" w:rsidRPr="001C1B9C">
        <w:rPr>
          <w:i/>
          <w:iCs/>
          <w:color w:val="000000" w:themeColor="text1"/>
        </w:rPr>
        <w:t>[Infrastructure Delivery Plan, page 38-40].</w:t>
      </w:r>
      <w:r w:rsidR="00284A96" w:rsidRPr="001C1B9C">
        <w:rPr>
          <w:b/>
          <w:bCs/>
          <w:color w:val="000000" w:themeColor="text1"/>
        </w:rPr>
        <w:t xml:space="preserve"> </w:t>
      </w:r>
      <w:r w:rsidR="00DA6CF5" w:rsidRPr="001C1B9C">
        <w:rPr>
          <w:b/>
          <w:bCs/>
          <w:color w:val="000000" w:themeColor="text1"/>
        </w:rPr>
        <w:t xml:space="preserve"> </w:t>
      </w:r>
    </w:p>
    <w:p w14:paraId="23F50C82" w14:textId="77777777" w:rsidR="008A23C8" w:rsidRPr="001C1B9C" w:rsidRDefault="008A23C8" w:rsidP="003C5D8D">
      <w:pPr>
        <w:jc w:val="both"/>
        <w:rPr>
          <w:b/>
          <w:bCs/>
          <w:color w:val="000000" w:themeColor="text1"/>
        </w:rPr>
      </w:pPr>
    </w:p>
    <w:p w14:paraId="466B3C75" w14:textId="2A373B92" w:rsidR="003C5D8D" w:rsidRPr="001C1B9C" w:rsidRDefault="003C5D8D" w:rsidP="003C5D8D">
      <w:pPr>
        <w:jc w:val="both"/>
        <w:rPr>
          <w:color w:val="000000" w:themeColor="text1"/>
        </w:rPr>
      </w:pPr>
      <w:r w:rsidRPr="001C1B9C">
        <w:rPr>
          <w:color w:val="000000" w:themeColor="text1"/>
        </w:rPr>
        <w:t xml:space="preserve">This </w:t>
      </w:r>
      <w:r w:rsidR="00284A96" w:rsidRPr="001C1B9C">
        <w:rPr>
          <w:color w:val="000000" w:themeColor="text1"/>
        </w:rPr>
        <w:t xml:space="preserve">list of assets </w:t>
      </w:r>
      <w:r w:rsidRPr="001C1B9C">
        <w:rPr>
          <w:color w:val="000000" w:themeColor="text1"/>
        </w:rPr>
        <w:t>should then form the basis for determining those areas where development cannot be proposed/ approved</w:t>
      </w:r>
      <w:r w:rsidR="00972B5A" w:rsidRPr="001C1B9C">
        <w:rPr>
          <w:color w:val="000000" w:themeColor="text1"/>
        </w:rPr>
        <w:t>,</w:t>
      </w:r>
      <w:r w:rsidR="00284A96" w:rsidRPr="001C1B9C">
        <w:rPr>
          <w:color w:val="000000" w:themeColor="text1"/>
        </w:rPr>
        <w:t xml:space="preserve"> with a </w:t>
      </w:r>
      <w:r w:rsidRPr="001C1B9C">
        <w:rPr>
          <w:color w:val="000000" w:themeColor="text1"/>
        </w:rPr>
        <w:t xml:space="preserve">clear statement </w:t>
      </w:r>
      <w:r w:rsidR="00284A96" w:rsidRPr="001C1B9C">
        <w:rPr>
          <w:color w:val="000000" w:themeColor="text1"/>
        </w:rPr>
        <w:t xml:space="preserve">included in the plan </w:t>
      </w:r>
      <w:r w:rsidRPr="001C1B9C">
        <w:rPr>
          <w:color w:val="000000" w:themeColor="text1"/>
        </w:rPr>
        <w:t>protecting the</w:t>
      </w:r>
      <w:r w:rsidR="00972B5A" w:rsidRPr="001C1B9C">
        <w:rPr>
          <w:color w:val="000000" w:themeColor="text1"/>
        </w:rPr>
        <w:t xml:space="preserve">m </w:t>
      </w:r>
      <w:r w:rsidRPr="001C1B9C">
        <w:rPr>
          <w:color w:val="000000" w:themeColor="text1"/>
        </w:rPr>
        <w:t>by prohibiting them from future development.</w:t>
      </w:r>
      <w:r w:rsidR="00972B5A" w:rsidRPr="001C1B9C">
        <w:rPr>
          <w:color w:val="000000" w:themeColor="text1"/>
        </w:rPr>
        <w:t xml:space="preserve"> </w:t>
      </w:r>
      <w:r w:rsidRPr="001C1B9C">
        <w:rPr>
          <w:i/>
          <w:iCs/>
          <w:color w:val="000000" w:themeColor="text1"/>
        </w:rPr>
        <w:t>[Infrastructure Delivery Plan, page 38].</w:t>
      </w:r>
    </w:p>
    <w:p w14:paraId="4780770D" w14:textId="77777777" w:rsidR="003C5D8D" w:rsidRPr="001C1B9C" w:rsidRDefault="003C5D8D" w:rsidP="003C5D8D">
      <w:pPr>
        <w:jc w:val="both"/>
        <w:rPr>
          <w:color w:val="000000" w:themeColor="text1"/>
        </w:rPr>
      </w:pPr>
    </w:p>
    <w:p w14:paraId="4BDD61F3" w14:textId="0B71DA34" w:rsidR="009B3B3E" w:rsidRPr="001C1B9C" w:rsidRDefault="009B3B3E" w:rsidP="009B3B3E">
      <w:pPr>
        <w:jc w:val="both"/>
        <w:rPr>
          <w:i/>
          <w:iCs/>
          <w:color w:val="000000" w:themeColor="text1"/>
        </w:rPr>
      </w:pPr>
      <w:r w:rsidRPr="001C1B9C">
        <w:rPr>
          <w:color w:val="000000" w:themeColor="text1"/>
        </w:rPr>
        <w:t xml:space="preserve">The Local Plan </w:t>
      </w:r>
      <w:r w:rsidR="00972B5A" w:rsidRPr="001C1B9C">
        <w:rPr>
          <w:color w:val="000000" w:themeColor="text1"/>
        </w:rPr>
        <w:t xml:space="preserve">also </w:t>
      </w:r>
      <w:r w:rsidRPr="001C1B9C">
        <w:rPr>
          <w:color w:val="000000" w:themeColor="text1"/>
        </w:rPr>
        <w:t xml:space="preserve">provides the opportunity to set minimum standards for basic provisions to support </w:t>
      </w:r>
      <w:r w:rsidR="00932E2C" w:rsidRPr="001C1B9C">
        <w:rPr>
          <w:color w:val="000000" w:themeColor="text1"/>
        </w:rPr>
        <w:t>Protected Species and Species of Principal Importance</w:t>
      </w:r>
      <w:r w:rsidRPr="001C1B9C">
        <w:rPr>
          <w:color w:val="000000" w:themeColor="text1"/>
        </w:rPr>
        <w:t>, within developments</w:t>
      </w:r>
      <w:r w:rsidRPr="001C1B9C">
        <w:rPr>
          <w:b/>
          <w:bCs/>
          <w:color w:val="000000" w:themeColor="text1"/>
        </w:rPr>
        <w:t>,</w:t>
      </w:r>
      <w:r w:rsidRPr="001C1B9C">
        <w:rPr>
          <w:color w:val="000000" w:themeColor="text1"/>
        </w:rPr>
        <w:t xml:space="preserve"> and </w:t>
      </w:r>
      <w:r w:rsidR="00284A96" w:rsidRPr="001C1B9C">
        <w:rPr>
          <w:color w:val="000000" w:themeColor="text1"/>
        </w:rPr>
        <w:t xml:space="preserve">I </w:t>
      </w:r>
      <w:r w:rsidR="00932E2C" w:rsidRPr="001C1B9C">
        <w:rPr>
          <w:color w:val="000000" w:themeColor="text1"/>
        </w:rPr>
        <w:t xml:space="preserve">welcome the reference to provision of appropriate measures (e.g.: swift boxes, bat boxes etc.). </w:t>
      </w:r>
      <w:r w:rsidRPr="001C1B9C">
        <w:rPr>
          <w:color w:val="000000" w:themeColor="text1"/>
        </w:rPr>
        <w:t xml:space="preserve"> </w:t>
      </w:r>
      <w:r w:rsidR="00284A96" w:rsidRPr="001C1B9C">
        <w:rPr>
          <w:color w:val="000000" w:themeColor="text1"/>
        </w:rPr>
        <w:t>However,</w:t>
      </w:r>
      <w:r w:rsidRPr="001C1B9C">
        <w:rPr>
          <w:color w:val="000000" w:themeColor="text1"/>
        </w:rPr>
        <w:t xml:space="preserve"> this section needs to be strengthened to make this mandatory unless a pre-approved exception (</w:t>
      </w:r>
      <w:r w:rsidR="004F3DB9" w:rsidRPr="001C1B9C">
        <w:rPr>
          <w:color w:val="000000" w:themeColor="text1"/>
        </w:rPr>
        <w:t xml:space="preserve">against an agreed </w:t>
      </w:r>
      <w:r w:rsidRPr="001C1B9C">
        <w:rPr>
          <w:color w:val="000000" w:themeColor="text1"/>
        </w:rPr>
        <w:t>list) applies [</w:t>
      </w:r>
      <w:r w:rsidRPr="001C1B9C">
        <w:rPr>
          <w:i/>
          <w:iCs/>
          <w:color w:val="000000" w:themeColor="text1"/>
        </w:rPr>
        <w:t>Draft for Regulation 18 Consultation, page 167].</w:t>
      </w:r>
    </w:p>
    <w:p w14:paraId="116FFE53" w14:textId="77777777" w:rsidR="003C5D8D" w:rsidRPr="001C1B9C" w:rsidRDefault="003C5D8D" w:rsidP="00742671">
      <w:pPr>
        <w:jc w:val="both"/>
        <w:rPr>
          <w:b/>
          <w:bCs/>
          <w:u w:val="single"/>
        </w:rPr>
      </w:pPr>
    </w:p>
    <w:p w14:paraId="229012D8" w14:textId="77777777" w:rsidR="00DA6CF5" w:rsidRPr="001C1B9C" w:rsidRDefault="00DA6CF5" w:rsidP="00742671">
      <w:pPr>
        <w:jc w:val="both"/>
        <w:rPr>
          <w:b/>
          <w:bCs/>
          <w:u w:val="single"/>
        </w:rPr>
      </w:pPr>
    </w:p>
    <w:p w14:paraId="5AED15D3" w14:textId="281E041A" w:rsidR="00DA6CF5" w:rsidRPr="001C1B9C" w:rsidRDefault="00C07361" w:rsidP="00742671">
      <w:pPr>
        <w:jc w:val="both"/>
        <w:rPr>
          <w:b/>
          <w:bCs/>
          <w:u w:val="single"/>
        </w:rPr>
      </w:pPr>
      <w:r w:rsidRPr="001C1B9C">
        <w:rPr>
          <w:b/>
          <w:bCs/>
          <w:u w:val="single"/>
        </w:rPr>
        <w:t>Biodiversity Net Gain</w:t>
      </w:r>
    </w:p>
    <w:p w14:paraId="1A479B89" w14:textId="77777777" w:rsidR="00DA6CF5" w:rsidRPr="001C1B9C" w:rsidRDefault="00DA6CF5" w:rsidP="00742671">
      <w:pPr>
        <w:jc w:val="both"/>
        <w:rPr>
          <w:color w:val="000000" w:themeColor="text1"/>
        </w:rPr>
      </w:pPr>
    </w:p>
    <w:p w14:paraId="7C13F9A0" w14:textId="0C2FA131" w:rsidR="00961072" w:rsidRPr="001C1B9C" w:rsidRDefault="00C9405D" w:rsidP="00742671">
      <w:pPr>
        <w:jc w:val="both"/>
        <w:rPr>
          <w:b/>
          <w:bCs/>
          <w:u w:val="single"/>
        </w:rPr>
      </w:pPr>
      <w:r w:rsidRPr="001C1B9C">
        <w:rPr>
          <w:color w:val="000000" w:themeColor="text1"/>
        </w:rPr>
        <w:t xml:space="preserve">The Government has recently introduced a </w:t>
      </w:r>
      <w:r w:rsidR="00896702" w:rsidRPr="001C1B9C">
        <w:rPr>
          <w:color w:val="000000" w:themeColor="text1"/>
        </w:rPr>
        <w:t xml:space="preserve">requirement upon developers to deliver </w:t>
      </w:r>
      <w:r w:rsidRPr="001C1B9C">
        <w:rPr>
          <w:color w:val="000000" w:themeColor="text1"/>
        </w:rPr>
        <w:t xml:space="preserve">a </w:t>
      </w:r>
      <w:r w:rsidR="00896702" w:rsidRPr="001C1B9C">
        <w:rPr>
          <w:color w:val="000000" w:themeColor="text1"/>
        </w:rPr>
        <w:t>10% net gain</w:t>
      </w:r>
      <w:r w:rsidRPr="001C1B9C">
        <w:rPr>
          <w:color w:val="000000" w:themeColor="text1"/>
        </w:rPr>
        <w:t xml:space="preserve"> in biodiversity when undertaking construction projects and I note that this is referenced in the Local Plan. </w:t>
      </w:r>
      <w:r w:rsidR="006B41DC" w:rsidRPr="001C1B9C">
        <w:rPr>
          <w:color w:val="000000" w:themeColor="text1"/>
        </w:rPr>
        <w:t>The Environment Act (2021) permits local authorities to set targets that exceed this limit</w:t>
      </w:r>
      <w:r w:rsidRPr="001C1B9C">
        <w:rPr>
          <w:color w:val="000000" w:themeColor="text1"/>
        </w:rPr>
        <w:t xml:space="preserve">, and I would like to see the Council demonstrating leadership, in response to its declaration of an ecological emergency, by incorporating a 20% BNG target in the Local Plan. </w:t>
      </w:r>
      <w:r w:rsidRPr="001C1B9C">
        <w:rPr>
          <w:i/>
          <w:iCs/>
          <w:color w:val="000000" w:themeColor="text1"/>
        </w:rPr>
        <w:t xml:space="preserve">[Infrastructure Delivery Plan, page 38-39/ Draft for Regulation 18 Consultation Page 162 (ENV6)]. </w:t>
      </w:r>
      <w:r w:rsidRPr="001C1B9C">
        <w:rPr>
          <w:color w:val="000000" w:themeColor="text1"/>
        </w:rPr>
        <w:t xml:space="preserve">This would be consistent with other </w:t>
      </w:r>
      <w:r w:rsidR="00961072" w:rsidRPr="001C1B9C">
        <w:rPr>
          <w:color w:val="000000" w:themeColor="text1"/>
        </w:rPr>
        <w:t xml:space="preserve">local authorities </w:t>
      </w:r>
      <w:r w:rsidRPr="001C1B9C">
        <w:rPr>
          <w:color w:val="000000" w:themeColor="text1"/>
        </w:rPr>
        <w:t xml:space="preserve">in the south-east </w:t>
      </w:r>
      <w:r w:rsidR="00961072" w:rsidRPr="001C1B9C">
        <w:rPr>
          <w:color w:val="000000" w:themeColor="text1"/>
        </w:rPr>
        <w:t xml:space="preserve">(e.g.: Surrey Heath, Wiltshire) </w:t>
      </w:r>
      <w:r w:rsidRPr="001C1B9C">
        <w:rPr>
          <w:color w:val="000000" w:themeColor="text1"/>
        </w:rPr>
        <w:t>reflecting the degree of nature depletion in the area.</w:t>
      </w:r>
    </w:p>
    <w:p w14:paraId="72C4BCA6" w14:textId="49C1269B" w:rsidR="00896702" w:rsidRPr="001C1B9C" w:rsidRDefault="00896702" w:rsidP="00742671">
      <w:pPr>
        <w:jc w:val="both"/>
        <w:rPr>
          <w:color w:val="FF0000"/>
        </w:rPr>
      </w:pPr>
    </w:p>
    <w:p w14:paraId="26937105" w14:textId="17FA5ECA" w:rsidR="00AE01C4" w:rsidRPr="001C1B9C" w:rsidRDefault="000D3613" w:rsidP="002D1B73">
      <w:pPr>
        <w:jc w:val="both"/>
        <w:rPr>
          <w:color w:val="000000" w:themeColor="text1"/>
        </w:rPr>
      </w:pPr>
      <w:r w:rsidRPr="001C1B9C">
        <w:rPr>
          <w:color w:val="000000" w:themeColor="text1"/>
        </w:rPr>
        <w:t xml:space="preserve">The Local Plan states that </w:t>
      </w:r>
      <w:r w:rsidR="00202B0F" w:rsidRPr="001C1B9C">
        <w:rPr>
          <w:color w:val="000000" w:themeColor="text1"/>
        </w:rPr>
        <w:t>B</w:t>
      </w:r>
      <w:r w:rsidR="00C9405D" w:rsidRPr="001C1B9C">
        <w:rPr>
          <w:color w:val="000000" w:themeColor="text1"/>
        </w:rPr>
        <w:t xml:space="preserve">iodiversity </w:t>
      </w:r>
      <w:r w:rsidR="00202B0F" w:rsidRPr="001C1B9C">
        <w:rPr>
          <w:color w:val="000000" w:themeColor="text1"/>
        </w:rPr>
        <w:t>N</w:t>
      </w:r>
      <w:r w:rsidR="00C9405D" w:rsidRPr="001C1B9C">
        <w:rPr>
          <w:color w:val="000000" w:themeColor="text1"/>
        </w:rPr>
        <w:t xml:space="preserve">et </w:t>
      </w:r>
      <w:r w:rsidR="00202B0F" w:rsidRPr="001C1B9C">
        <w:rPr>
          <w:color w:val="000000" w:themeColor="text1"/>
        </w:rPr>
        <w:t>G</w:t>
      </w:r>
      <w:r w:rsidR="00C9405D" w:rsidRPr="001C1B9C">
        <w:rPr>
          <w:color w:val="000000" w:themeColor="text1"/>
        </w:rPr>
        <w:t>ain</w:t>
      </w:r>
      <w:r w:rsidRPr="001C1B9C">
        <w:rPr>
          <w:color w:val="000000" w:themeColor="text1"/>
        </w:rPr>
        <w:t xml:space="preserve"> </w:t>
      </w:r>
      <w:r w:rsidR="00031AF0" w:rsidRPr="001C1B9C">
        <w:rPr>
          <w:color w:val="000000" w:themeColor="text1"/>
        </w:rPr>
        <w:t xml:space="preserve">(BNG) </w:t>
      </w:r>
      <w:r w:rsidR="00202B0F" w:rsidRPr="001C1B9C">
        <w:rPr>
          <w:color w:val="000000" w:themeColor="text1"/>
        </w:rPr>
        <w:t xml:space="preserve">“must be delivered on site wherever possible or, where agreed on off-site land that supports strategic nature recovery initiatives such as Local Nature Recovery Strategies”. </w:t>
      </w:r>
      <w:r w:rsidR="00C9405D" w:rsidRPr="001C1B9C">
        <w:rPr>
          <w:color w:val="000000" w:themeColor="text1"/>
        </w:rPr>
        <w:t>To ensure that this is effective, I would like to see:</w:t>
      </w:r>
    </w:p>
    <w:p w14:paraId="06F3AC7C" w14:textId="77777777" w:rsidR="00031AF0" w:rsidRPr="001C1B9C" w:rsidRDefault="00202B0F" w:rsidP="00031AF0">
      <w:pPr>
        <w:pStyle w:val="NormalWeb"/>
        <w:numPr>
          <w:ilvl w:val="0"/>
          <w:numId w:val="14"/>
        </w:numPr>
        <w:ind w:left="709"/>
        <w:jc w:val="both"/>
        <w:rPr>
          <w:rFonts w:asciiTheme="minorHAnsi" w:eastAsiaTheme="minorHAnsi" w:hAnsiTheme="minorHAnsi" w:cstheme="minorBidi"/>
          <w:b/>
          <w:bCs/>
          <w:color w:val="000000" w:themeColor="text1"/>
          <w:lang w:eastAsia="en-US"/>
        </w:rPr>
      </w:pPr>
      <w:r w:rsidRPr="001C1B9C">
        <w:rPr>
          <w:rFonts w:asciiTheme="minorHAnsi" w:eastAsiaTheme="minorHAnsi" w:hAnsiTheme="minorHAnsi" w:cstheme="minorBidi"/>
          <w:color w:val="000000" w:themeColor="text1"/>
          <w:lang w:eastAsia="en-US"/>
        </w:rPr>
        <w:t xml:space="preserve">Objective criteria </w:t>
      </w:r>
      <w:r w:rsidR="00C9405D" w:rsidRPr="001C1B9C">
        <w:rPr>
          <w:rFonts w:asciiTheme="minorHAnsi" w:eastAsiaTheme="minorHAnsi" w:hAnsiTheme="minorHAnsi" w:cstheme="minorBidi"/>
          <w:color w:val="000000" w:themeColor="text1"/>
          <w:lang w:eastAsia="en-US"/>
        </w:rPr>
        <w:t xml:space="preserve">included </w:t>
      </w:r>
      <w:r w:rsidRPr="001C1B9C">
        <w:rPr>
          <w:rFonts w:asciiTheme="minorHAnsi" w:eastAsiaTheme="minorHAnsi" w:hAnsiTheme="minorHAnsi" w:cstheme="minorBidi"/>
          <w:color w:val="000000" w:themeColor="text1"/>
          <w:lang w:eastAsia="en-US"/>
        </w:rPr>
        <w:t xml:space="preserve">to </w:t>
      </w:r>
      <w:r w:rsidR="00C9405D" w:rsidRPr="001C1B9C">
        <w:rPr>
          <w:rFonts w:asciiTheme="minorHAnsi" w:eastAsiaTheme="minorHAnsi" w:hAnsiTheme="minorHAnsi" w:cstheme="minorBidi"/>
          <w:color w:val="000000" w:themeColor="text1"/>
          <w:lang w:eastAsia="en-US"/>
        </w:rPr>
        <w:t xml:space="preserve">provide the basis for </w:t>
      </w:r>
      <w:r w:rsidRPr="001C1B9C">
        <w:rPr>
          <w:rFonts w:asciiTheme="minorHAnsi" w:eastAsiaTheme="minorHAnsi" w:hAnsiTheme="minorHAnsi" w:cstheme="minorBidi"/>
          <w:color w:val="000000" w:themeColor="text1"/>
          <w:lang w:eastAsia="en-US"/>
        </w:rPr>
        <w:t xml:space="preserve">decisions as to when it is not possible to deliver BNG on site </w:t>
      </w:r>
      <w:r w:rsidR="00C9405D" w:rsidRPr="001C1B9C">
        <w:rPr>
          <w:rFonts w:asciiTheme="minorHAnsi" w:eastAsiaTheme="minorHAnsi" w:hAnsiTheme="minorHAnsi" w:cstheme="minorBidi"/>
          <w:color w:val="000000" w:themeColor="text1"/>
          <w:lang w:eastAsia="en-US"/>
        </w:rPr>
        <w:t>–</w:t>
      </w:r>
      <w:r w:rsidRPr="001C1B9C">
        <w:rPr>
          <w:rFonts w:asciiTheme="minorHAnsi" w:eastAsiaTheme="minorHAnsi" w:hAnsiTheme="minorHAnsi" w:cstheme="minorBidi"/>
          <w:color w:val="000000" w:themeColor="text1"/>
          <w:lang w:eastAsia="en-US"/>
        </w:rPr>
        <w:t xml:space="preserve"> </w:t>
      </w:r>
      <w:r w:rsidR="00C9405D" w:rsidRPr="001C1B9C">
        <w:rPr>
          <w:rFonts w:asciiTheme="minorHAnsi" w:eastAsiaTheme="minorHAnsi" w:hAnsiTheme="minorHAnsi" w:cstheme="minorBidi"/>
          <w:color w:val="000000" w:themeColor="text1"/>
          <w:lang w:eastAsia="en-US"/>
        </w:rPr>
        <w:t xml:space="preserve">rather than </w:t>
      </w:r>
      <w:r w:rsidRPr="001C1B9C">
        <w:rPr>
          <w:rFonts w:asciiTheme="minorHAnsi" w:eastAsiaTheme="minorHAnsi" w:hAnsiTheme="minorHAnsi" w:cstheme="minorBidi"/>
          <w:color w:val="000000" w:themeColor="text1"/>
          <w:lang w:eastAsia="en-US"/>
        </w:rPr>
        <w:t xml:space="preserve">at this </w:t>
      </w:r>
      <w:r w:rsidR="00C9405D" w:rsidRPr="001C1B9C">
        <w:rPr>
          <w:rFonts w:asciiTheme="minorHAnsi" w:eastAsiaTheme="minorHAnsi" w:hAnsiTheme="minorHAnsi" w:cstheme="minorBidi"/>
          <w:color w:val="000000" w:themeColor="text1"/>
          <w:lang w:eastAsia="en-US"/>
        </w:rPr>
        <w:t>being based on the</w:t>
      </w:r>
      <w:r w:rsidRPr="001C1B9C">
        <w:rPr>
          <w:rFonts w:asciiTheme="minorHAnsi" w:eastAsiaTheme="minorHAnsi" w:hAnsiTheme="minorHAnsi" w:cstheme="minorBidi"/>
          <w:color w:val="000000" w:themeColor="text1"/>
          <w:lang w:eastAsia="en-US"/>
        </w:rPr>
        <w:t xml:space="preserve"> subjective opinion of the developer or their advisers</w:t>
      </w:r>
      <w:r w:rsidR="00C9405D" w:rsidRPr="001C1B9C">
        <w:rPr>
          <w:rFonts w:asciiTheme="minorHAnsi" w:eastAsiaTheme="minorHAnsi" w:hAnsiTheme="minorHAnsi" w:cstheme="minorBidi"/>
          <w:color w:val="000000" w:themeColor="text1"/>
          <w:lang w:eastAsia="en-US"/>
        </w:rPr>
        <w:t xml:space="preserve"> </w:t>
      </w:r>
      <w:r w:rsidR="00606241" w:rsidRPr="001C1B9C">
        <w:rPr>
          <w:rFonts w:asciiTheme="minorHAnsi" w:eastAsiaTheme="minorHAnsi" w:hAnsiTheme="minorHAnsi" w:cstheme="minorBidi"/>
          <w:color w:val="000000" w:themeColor="text1"/>
          <w:lang w:eastAsia="en-US"/>
        </w:rPr>
        <w:t>[</w:t>
      </w:r>
      <w:r w:rsidR="00606241" w:rsidRPr="001C1B9C">
        <w:rPr>
          <w:rFonts w:asciiTheme="minorHAnsi" w:eastAsiaTheme="minorHAnsi" w:hAnsiTheme="minorHAnsi" w:cstheme="minorBidi"/>
          <w:i/>
          <w:iCs/>
          <w:color w:val="000000" w:themeColor="text1"/>
          <w:lang w:eastAsia="en-US"/>
        </w:rPr>
        <w:t xml:space="preserve">Draft for Regulation </w:t>
      </w:r>
      <w:r w:rsidR="00606241" w:rsidRPr="001C1B9C">
        <w:rPr>
          <w:rFonts w:asciiTheme="minorHAnsi" w:eastAsiaTheme="minorHAnsi" w:hAnsiTheme="minorHAnsi" w:cstheme="minorBidi"/>
          <w:color w:val="000000" w:themeColor="text1"/>
          <w:lang w:eastAsia="en-US"/>
        </w:rPr>
        <w:t>18 Consultation, Page 16].</w:t>
      </w:r>
    </w:p>
    <w:p w14:paraId="67E25F81" w14:textId="77777777" w:rsidR="00031AF0" w:rsidRPr="001C1B9C" w:rsidRDefault="00C9405D" w:rsidP="00031AF0">
      <w:pPr>
        <w:pStyle w:val="NormalWeb"/>
        <w:numPr>
          <w:ilvl w:val="0"/>
          <w:numId w:val="14"/>
        </w:numPr>
        <w:ind w:left="709"/>
        <w:jc w:val="both"/>
        <w:rPr>
          <w:rFonts w:asciiTheme="minorHAnsi" w:eastAsiaTheme="minorHAnsi" w:hAnsiTheme="minorHAnsi" w:cstheme="minorBidi"/>
          <w:b/>
          <w:bCs/>
          <w:color w:val="000000" w:themeColor="text1"/>
          <w:lang w:eastAsia="en-US"/>
        </w:rPr>
      </w:pPr>
      <w:r w:rsidRPr="001C1B9C">
        <w:rPr>
          <w:rFonts w:asciiTheme="minorHAnsi" w:eastAsiaTheme="minorHAnsi" w:hAnsiTheme="minorHAnsi" w:cstheme="minorBidi"/>
          <w:color w:val="000000" w:themeColor="text1"/>
          <w:lang w:eastAsia="en-US"/>
        </w:rPr>
        <w:t>Appropriate sanctions built into the plan to discourage inaccuracies in BNG measurement, f</w:t>
      </w:r>
      <w:r w:rsidR="00202B0F" w:rsidRPr="001C1B9C">
        <w:rPr>
          <w:rFonts w:asciiTheme="minorHAnsi" w:eastAsiaTheme="minorHAnsi" w:hAnsiTheme="minorHAnsi" w:cstheme="minorBidi"/>
          <w:color w:val="000000" w:themeColor="text1"/>
          <w:lang w:eastAsia="en-US"/>
        </w:rPr>
        <w:t xml:space="preserve">or example </w:t>
      </w:r>
      <w:r w:rsidRPr="001C1B9C">
        <w:rPr>
          <w:rFonts w:asciiTheme="minorHAnsi" w:eastAsiaTheme="minorHAnsi" w:hAnsiTheme="minorHAnsi" w:cstheme="minorBidi"/>
          <w:color w:val="000000" w:themeColor="text1"/>
          <w:lang w:eastAsia="en-US"/>
        </w:rPr>
        <w:t>not adequately reflecting/ categorising habitats and associated species (including seasonal variations)</w:t>
      </w:r>
      <w:r w:rsidR="00202B0F" w:rsidRPr="001C1B9C">
        <w:rPr>
          <w:rFonts w:asciiTheme="minorHAnsi" w:eastAsiaTheme="minorHAnsi" w:hAnsiTheme="minorHAnsi" w:cstheme="minorBidi"/>
          <w:color w:val="000000" w:themeColor="text1"/>
          <w:lang w:eastAsia="en-US"/>
        </w:rPr>
        <w:t>.</w:t>
      </w:r>
      <w:r w:rsidR="00031AF0" w:rsidRPr="001C1B9C">
        <w:rPr>
          <w:rFonts w:asciiTheme="minorHAnsi" w:eastAsiaTheme="minorHAnsi" w:hAnsiTheme="minorHAnsi" w:cstheme="minorBidi"/>
          <w:color w:val="000000" w:themeColor="text1"/>
          <w:lang w:eastAsia="en-US"/>
        </w:rPr>
        <w:t xml:space="preserve"> </w:t>
      </w:r>
      <w:r w:rsidR="008B7EC7" w:rsidRPr="001C1B9C">
        <w:rPr>
          <w:rFonts w:asciiTheme="minorHAnsi" w:eastAsiaTheme="minorHAnsi" w:hAnsiTheme="minorHAnsi" w:cstheme="minorBidi"/>
          <w:b/>
          <w:bCs/>
          <w:i/>
          <w:iCs/>
          <w:color w:val="000000" w:themeColor="text1"/>
          <w:lang w:eastAsia="en-US"/>
        </w:rPr>
        <w:t>[</w:t>
      </w:r>
      <w:r w:rsidR="008B7EC7" w:rsidRPr="001C1B9C">
        <w:rPr>
          <w:rFonts w:asciiTheme="minorHAnsi" w:eastAsiaTheme="minorHAnsi" w:hAnsiTheme="minorHAnsi" w:cstheme="minorBidi"/>
          <w:i/>
          <w:iCs/>
          <w:color w:val="000000" w:themeColor="text1"/>
          <w:lang w:eastAsia="en-US"/>
        </w:rPr>
        <w:t>Draft for Regulation 18 Consultation, Page 163, para 5b</w:t>
      </w:r>
      <w:r w:rsidR="00031AF0" w:rsidRPr="001C1B9C">
        <w:rPr>
          <w:rFonts w:asciiTheme="minorHAnsi" w:eastAsiaTheme="minorHAnsi" w:hAnsiTheme="minorHAnsi" w:cstheme="minorBidi"/>
          <w:i/>
          <w:iCs/>
          <w:color w:val="000000" w:themeColor="text1"/>
          <w:lang w:eastAsia="en-US"/>
        </w:rPr>
        <w:t>.</w:t>
      </w:r>
    </w:p>
    <w:p w14:paraId="2D2CFD4A" w14:textId="337FA771" w:rsidR="00B26619" w:rsidRPr="001C1B9C" w:rsidRDefault="00202B0F" w:rsidP="00031AF0">
      <w:pPr>
        <w:pStyle w:val="NormalWeb"/>
        <w:numPr>
          <w:ilvl w:val="0"/>
          <w:numId w:val="14"/>
        </w:numPr>
        <w:ind w:left="709"/>
        <w:jc w:val="both"/>
        <w:rPr>
          <w:rFonts w:asciiTheme="minorHAnsi" w:eastAsiaTheme="minorHAnsi" w:hAnsiTheme="minorHAnsi" w:cstheme="minorBidi"/>
          <w:b/>
          <w:bCs/>
          <w:color w:val="000000" w:themeColor="text1"/>
          <w:lang w:eastAsia="en-US"/>
        </w:rPr>
      </w:pPr>
      <w:r w:rsidRPr="001C1B9C">
        <w:rPr>
          <w:rFonts w:asciiTheme="minorHAnsi" w:eastAsiaTheme="minorHAnsi" w:hAnsiTheme="minorHAnsi" w:cstheme="minorBidi"/>
          <w:color w:val="000000" w:themeColor="text1"/>
          <w:lang w:eastAsia="en-US"/>
        </w:rPr>
        <w:t>Where BNG is delivered off-site</w:t>
      </w:r>
      <w:r w:rsidR="003C5D8D" w:rsidRPr="001C1B9C">
        <w:rPr>
          <w:rFonts w:asciiTheme="minorHAnsi" w:eastAsiaTheme="minorHAnsi" w:hAnsiTheme="minorHAnsi" w:cstheme="minorBidi"/>
          <w:color w:val="000000" w:themeColor="text1"/>
          <w:lang w:eastAsia="en-US"/>
        </w:rPr>
        <w:t xml:space="preserve"> this </w:t>
      </w:r>
      <w:r w:rsidR="00031AF0" w:rsidRPr="001C1B9C">
        <w:rPr>
          <w:rFonts w:asciiTheme="minorHAnsi" w:eastAsiaTheme="minorHAnsi" w:hAnsiTheme="minorHAnsi" w:cstheme="minorBidi"/>
          <w:color w:val="000000" w:themeColor="text1"/>
          <w:lang w:eastAsia="en-US"/>
        </w:rPr>
        <w:t xml:space="preserve">must </w:t>
      </w:r>
      <w:r w:rsidR="003C5D8D" w:rsidRPr="001C1B9C">
        <w:rPr>
          <w:rFonts w:asciiTheme="minorHAnsi" w:eastAsiaTheme="minorHAnsi" w:hAnsiTheme="minorHAnsi" w:cstheme="minorBidi"/>
          <w:color w:val="000000" w:themeColor="text1"/>
          <w:lang w:eastAsia="en-US"/>
        </w:rPr>
        <w:t xml:space="preserve">deliver genuine biodiversity benefits for the borough rather than being directed into projects of limited value or locations outside Basingstoke &amp; Deane. </w:t>
      </w:r>
      <w:r w:rsidR="00972B5A" w:rsidRPr="001C1B9C">
        <w:rPr>
          <w:rFonts w:asciiTheme="minorHAnsi" w:eastAsiaTheme="minorHAnsi" w:hAnsiTheme="minorHAnsi" w:cstheme="minorBidi"/>
          <w:color w:val="000000" w:themeColor="text1"/>
          <w:lang w:eastAsia="en-US"/>
        </w:rPr>
        <w:t>I</w:t>
      </w:r>
      <w:r w:rsidR="003C5D8D" w:rsidRPr="001C1B9C">
        <w:rPr>
          <w:rFonts w:asciiTheme="minorHAnsi" w:eastAsiaTheme="minorHAnsi" w:hAnsiTheme="minorHAnsi" w:cstheme="minorBidi"/>
          <w:color w:val="000000" w:themeColor="text1"/>
          <w:lang w:eastAsia="en-US"/>
        </w:rPr>
        <w:t xml:space="preserve"> </w:t>
      </w:r>
      <w:r w:rsidRPr="001C1B9C">
        <w:rPr>
          <w:rFonts w:asciiTheme="minorHAnsi" w:eastAsiaTheme="minorHAnsi" w:hAnsiTheme="minorHAnsi" w:cstheme="minorBidi"/>
          <w:color w:val="000000" w:themeColor="text1"/>
          <w:lang w:eastAsia="en-US"/>
        </w:rPr>
        <w:t>suggest that the statement regarding delivery of off-site BNG is clearly cross-referenced to a list of</w:t>
      </w:r>
      <w:r w:rsidR="00481909" w:rsidRPr="001C1B9C">
        <w:rPr>
          <w:rFonts w:asciiTheme="minorHAnsi" w:eastAsiaTheme="minorHAnsi" w:hAnsiTheme="minorHAnsi" w:cstheme="minorBidi"/>
          <w:i/>
          <w:iCs/>
          <w:color w:val="FF0000"/>
          <w:lang w:eastAsia="en-US"/>
        </w:rPr>
        <w:t xml:space="preserve"> </w:t>
      </w:r>
      <w:r w:rsidRPr="001C1B9C">
        <w:rPr>
          <w:rFonts w:asciiTheme="minorHAnsi" w:eastAsiaTheme="minorHAnsi" w:hAnsiTheme="minorHAnsi" w:cstheme="minorBidi"/>
          <w:color w:val="000000" w:themeColor="text1"/>
          <w:lang w:eastAsia="en-US"/>
        </w:rPr>
        <w:t>priority biodiversity projects for the borough. [</w:t>
      </w:r>
      <w:r w:rsidRPr="001C1B9C">
        <w:rPr>
          <w:rFonts w:asciiTheme="minorHAnsi" w:eastAsiaTheme="minorHAnsi" w:hAnsiTheme="minorHAnsi" w:cstheme="minorBidi"/>
          <w:i/>
          <w:iCs/>
          <w:color w:val="000000" w:themeColor="text1"/>
          <w:lang w:eastAsia="en-US"/>
        </w:rPr>
        <w:t>Infrastructure Delivery Plan, page 38</w:t>
      </w:r>
      <w:r w:rsidR="009B3B3E" w:rsidRPr="001C1B9C">
        <w:rPr>
          <w:rFonts w:asciiTheme="minorHAnsi" w:eastAsiaTheme="minorHAnsi" w:hAnsiTheme="minorHAnsi" w:cstheme="minorBidi"/>
          <w:i/>
          <w:iCs/>
          <w:color w:val="000000" w:themeColor="text1"/>
          <w:lang w:eastAsia="en-US"/>
        </w:rPr>
        <w:t>/</w:t>
      </w:r>
      <w:r w:rsidRPr="001C1B9C">
        <w:rPr>
          <w:rFonts w:asciiTheme="minorHAnsi" w:eastAsiaTheme="minorHAnsi" w:hAnsiTheme="minorHAnsi" w:cstheme="minorBidi"/>
          <w:i/>
          <w:iCs/>
          <w:color w:val="000000" w:themeColor="text1"/>
          <w:lang w:eastAsia="en-US"/>
        </w:rPr>
        <w:t xml:space="preserve"> </w:t>
      </w:r>
      <w:r w:rsidR="009B3B3E" w:rsidRPr="001C1B9C">
        <w:rPr>
          <w:rFonts w:asciiTheme="minorHAnsi" w:eastAsiaTheme="minorHAnsi" w:hAnsiTheme="minorHAnsi" w:cstheme="minorBidi"/>
          <w:i/>
          <w:iCs/>
          <w:color w:val="000000" w:themeColor="text1"/>
          <w:lang w:eastAsia="en-US"/>
        </w:rPr>
        <w:t>Draft for Regulation 18 Consultation Page 16</w:t>
      </w:r>
      <w:r w:rsidR="00606241" w:rsidRPr="001C1B9C">
        <w:rPr>
          <w:rFonts w:asciiTheme="minorHAnsi" w:eastAsiaTheme="minorHAnsi" w:hAnsiTheme="minorHAnsi" w:cstheme="minorBidi"/>
          <w:i/>
          <w:iCs/>
          <w:color w:val="000000" w:themeColor="text1"/>
          <w:lang w:eastAsia="en-US"/>
        </w:rPr>
        <w:t>3</w:t>
      </w:r>
      <w:r w:rsidR="009B3B3E" w:rsidRPr="001C1B9C">
        <w:rPr>
          <w:rFonts w:asciiTheme="minorHAnsi" w:eastAsiaTheme="minorHAnsi" w:hAnsiTheme="minorHAnsi" w:cstheme="minorBidi"/>
          <w:i/>
          <w:iCs/>
          <w:color w:val="000000" w:themeColor="text1"/>
          <w:lang w:eastAsia="en-US"/>
        </w:rPr>
        <w:t xml:space="preserve"> (ENV6</w:t>
      </w:r>
      <w:r w:rsidRPr="001C1B9C">
        <w:rPr>
          <w:rFonts w:asciiTheme="minorHAnsi" w:eastAsiaTheme="minorHAnsi" w:hAnsiTheme="minorHAnsi" w:cstheme="minorBidi"/>
          <w:i/>
          <w:iCs/>
          <w:color w:val="000000" w:themeColor="text1"/>
          <w:lang w:eastAsia="en-US"/>
        </w:rPr>
        <w:t>]</w:t>
      </w:r>
      <w:r w:rsidR="009B3B3E" w:rsidRPr="001C1B9C">
        <w:rPr>
          <w:rFonts w:asciiTheme="minorHAnsi" w:eastAsiaTheme="minorHAnsi" w:hAnsiTheme="minorHAnsi" w:cstheme="minorBidi"/>
          <w:i/>
          <w:iCs/>
          <w:color w:val="000000" w:themeColor="text1"/>
          <w:lang w:eastAsia="en-US"/>
        </w:rPr>
        <w:t>.</w:t>
      </w:r>
    </w:p>
    <w:p w14:paraId="6879649E" w14:textId="4F795926" w:rsidR="00606241" w:rsidRPr="001C1B9C" w:rsidRDefault="00031AF0" w:rsidP="00031AF0">
      <w:pPr>
        <w:jc w:val="both"/>
        <w:rPr>
          <w:color w:val="000000" w:themeColor="text1"/>
        </w:rPr>
      </w:pPr>
      <w:r w:rsidRPr="001C1B9C">
        <w:rPr>
          <w:color w:val="000000" w:themeColor="text1"/>
        </w:rPr>
        <w:t xml:space="preserve">The success of BNG also depends upon </w:t>
      </w:r>
      <w:r w:rsidR="00606241" w:rsidRPr="001C1B9C">
        <w:rPr>
          <w:color w:val="000000" w:themeColor="text1"/>
        </w:rPr>
        <w:t xml:space="preserve">clear processes </w:t>
      </w:r>
      <w:r w:rsidRPr="001C1B9C">
        <w:rPr>
          <w:color w:val="000000" w:themeColor="text1"/>
        </w:rPr>
        <w:t xml:space="preserve">being established to </w:t>
      </w:r>
      <w:r w:rsidR="00606241" w:rsidRPr="001C1B9C">
        <w:rPr>
          <w:color w:val="000000" w:themeColor="text1"/>
        </w:rPr>
        <w:t xml:space="preserve">monitor developers’ compliance </w:t>
      </w:r>
      <w:r w:rsidRPr="001C1B9C">
        <w:rPr>
          <w:color w:val="000000" w:themeColor="text1"/>
        </w:rPr>
        <w:t>and this should be covered in the relevant measurement section of the L</w:t>
      </w:r>
      <w:r w:rsidR="00606241" w:rsidRPr="001C1B9C">
        <w:rPr>
          <w:color w:val="000000" w:themeColor="text1"/>
        </w:rPr>
        <w:t>ocal Plan</w:t>
      </w:r>
      <w:r w:rsidR="00FF7D7C" w:rsidRPr="001C1B9C">
        <w:rPr>
          <w:color w:val="000000" w:themeColor="text1"/>
        </w:rPr>
        <w:t>.</w:t>
      </w:r>
      <w:r w:rsidR="00606241" w:rsidRPr="001C1B9C">
        <w:rPr>
          <w:color w:val="000000" w:themeColor="text1"/>
        </w:rPr>
        <w:t xml:space="preserve"> </w:t>
      </w:r>
    </w:p>
    <w:p w14:paraId="417C6C81" w14:textId="77777777" w:rsidR="00964EA0" w:rsidRPr="001C1B9C" w:rsidRDefault="00964EA0" w:rsidP="001656DD">
      <w:pPr>
        <w:jc w:val="both"/>
        <w:rPr>
          <w:b/>
          <w:bCs/>
          <w:u w:val="single"/>
        </w:rPr>
      </w:pPr>
    </w:p>
    <w:p w14:paraId="66739E83" w14:textId="1207799C" w:rsidR="001656DD" w:rsidRPr="001C1B9C" w:rsidRDefault="001656DD" w:rsidP="001656DD">
      <w:pPr>
        <w:jc w:val="both"/>
        <w:rPr>
          <w:u w:val="single"/>
        </w:rPr>
      </w:pPr>
      <w:r w:rsidRPr="001C1B9C">
        <w:rPr>
          <w:b/>
          <w:bCs/>
          <w:u w:val="single"/>
        </w:rPr>
        <w:t xml:space="preserve">Policy ENV6 - </w:t>
      </w:r>
      <w:r w:rsidRPr="001C1B9C">
        <w:rPr>
          <w:rFonts w:ascii="Arial" w:hAnsi="Arial" w:cs="Arial"/>
          <w:b/>
          <w:bCs/>
          <w:u w:val="single"/>
        </w:rPr>
        <w:t>Biodiversity, Geodiversity and Nature Conservation (</w:t>
      </w:r>
      <w:r w:rsidRPr="001C1B9C">
        <w:rPr>
          <w:i/>
          <w:iCs/>
          <w:color w:val="000000" w:themeColor="text1"/>
          <w:u w:val="single"/>
        </w:rPr>
        <w:t xml:space="preserve">Draft for Regulation 18 Consultation, </w:t>
      </w:r>
      <w:r w:rsidRPr="001C1B9C">
        <w:rPr>
          <w:u w:val="single"/>
        </w:rPr>
        <w:t>page 162-16</w:t>
      </w:r>
      <w:r w:rsidR="008B65DC" w:rsidRPr="001C1B9C">
        <w:rPr>
          <w:u w:val="single"/>
        </w:rPr>
        <w:t>8</w:t>
      </w:r>
      <w:r w:rsidRPr="001C1B9C">
        <w:rPr>
          <w:u w:val="single"/>
        </w:rPr>
        <w:t>.)</w:t>
      </w:r>
    </w:p>
    <w:p w14:paraId="12503AC8" w14:textId="2C56347B" w:rsidR="001656DD" w:rsidRPr="001C1B9C" w:rsidRDefault="001656DD" w:rsidP="00742671">
      <w:pPr>
        <w:jc w:val="both"/>
        <w:rPr>
          <w:b/>
          <w:bCs/>
          <w:u w:val="single"/>
        </w:rPr>
      </w:pPr>
    </w:p>
    <w:p w14:paraId="5AC7423B" w14:textId="20F5B1B5" w:rsidR="00FF7D7C" w:rsidRPr="001C1B9C" w:rsidRDefault="001656DD" w:rsidP="00AE01C4">
      <w:pPr>
        <w:jc w:val="both"/>
      </w:pPr>
      <w:r w:rsidRPr="001C1B9C">
        <w:t xml:space="preserve">Policy ENV6 is welcomed, </w:t>
      </w:r>
      <w:r w:rsidR="00DA6CF5" w:rsidRPr="001C1B9C">
        <w:t xml:space="preserve">however, </w:t>
      </w:r>
      <w:r w:rsidR="00031AF0" w:rsidRPr="001C1B9C">
        <w:t xml:space="preserve">I </w:t>
      </w:r>
      <w:r w:rsidRPr="001C1B9C">
        <w:t>would like to understand how this is going to be applied in practi</w:t>
      </w:r>
      <w:r w:rsidR="001C1B9C">
        <w:t>c</w:t>
      </w:r>
      <w:r w:rsidRPr="001C1B9C">
        <w:t>e – to ensure that compliance (or otherwise) is objectively measured.</w:t>
      </w:r>
      <w:r w:rsidR="00DA6CF5" w:rsidRPr="001C1B9C">
        <w:t xml:space="preserve"> </w:t>
      </w:r>
      <w:r w:rsidR="00031AF0" w:rsidRPr="001C1B9C">
        <w:t xml:space="preserve">I </w:t>
      </w:r>
      <w:r w:rsidRPr="001C1B9C">
        <w:t>would also like to see the following specific points covered in this policy</w:t>
      </w:r>
      <w:r w:rsidR="008A23C8" w:rsidRPr="001C1B9C">
        <w:t>:</w:t>
      </w:r>
    </w:p>
    <w:p w14:paraId="38C58434" w14:textId="77777777" w:rsidR="00BD02D6" w:rsidRPr="001C1B9C" w:rsidRDefault="00BD02D6" w:rsidP="00BD02D6">
      <w:pPr>
        <w:pStyle w:val="ListParagraph"/>
        <w:jc w:val="both"/>
      </w:pPr>
    </w:p>
    <w:p w14:paraId="48CEB8EC" w14:textId="1CBF283B" w:rsidR="000179A1" w:rsidRPr="001C1B9C" w:rsidRDefault="001656DD" w:rsidP="000179A1">
      <w:pPr>
        <w:pStyle w:val="ListParagraph"/>
        <w:numPr>
          <w:ilvl w:val="0"/>
          <w:numId w:val="9"/>
        </w:numPr>
        <w:jc w:val="both"/>
      </w:pPr>
      <w:r w:rsidRPr="001C1B9C">
        <w:t xml:space="preserve">To ensure that </w:t>
      </w:r>
      <w:r w:rsidR="00D55917" w:rsidRPr="001C1B9C">
        <w:t xml:space="preserve">developers’ </w:t>
      </w:r>
      <w:r w:rsidRPr="001C1B9C">
        <w:t xml:space="preserve">ecological assessments are effective, it is important that </w:t>
      </w:r>
      <w:r w:rsidR="00D55917" w:rsidRPr="001C1B9C">
        <w:t>they</w:t>
      </w:r>
      <w:r w:rsidR="00031AF0" w:rsidRPr="001C1B9C">
        <w:t xml:space="preserve"> are obligated to </w:t>
      </w:r>
      <w:r w:rsidRPr="001C1B9C">
        <w:t>base</w:t>
      </w:r>
      <w:r w:rsidR="00031AF0" w:rsidRPr="001C1B9C">
        <w:t xml:space="preserve"> their survey reports </w:t>
      </w:r>
      <w:r w:rsidRPr="001C1B9C">
        <w:t>on data from authoritative local source</w:t>
      </w:r>
      <w:r w:rsidR="00031AF0" w:rsidRPr="001C1B9C">
        <w:t>s –</w:t>
      </w:r>
      <w:r w:rsidRPr="001C1B9C">
        <w:t xml:space="preserve"> </w:t>
      </w:r>
      <w:r w:rsidR="00031AF0" w:rsidRPr="001C1B9C">
        <w:rPr>
          <w:i/>
          <w:iCs/>
        </w:rPr>
        <w:t xml:space="preserve">including the </w:t>
      </w:r>
      <w:r w:rsidRPr="001C1B9C">
        <w:rPr>
          <w:i/>
          <w:iCs/>
        </w:rPr>
        <w:t>H</w:t>
      </w:r>
      <w:r w:rsidR="008B65DC" w:rsidRPr="001C1B9C">
        <w:rPr>
          <w:i/>
          <w:iCs/>
        </w:rPr>
        <w:t xml:space="preserve">ampshire Biodiversity Information </w:t>
      </w:r>
      <w:r w:rsidRPr="001C1B9C">
        <w:rPr>
          <w:i/>
          <w:iCs/>
        </w:rPr>
        <w:t>C</w:t>
      </w:r>
      <w:r w:rsidR="008B65DC" w:rsidRPr="001C1B9C">
        <w:rPr>
          <w:i/>
          <w:iCs/>
        </w:rPr>
        <w:t>entre</w:t>
      </w:r>
      <w:r w:rsidRPr="001C1B9C">
        <w:t>.</w:t>
      </w:r>
    </w:p>
    <w:p w14:paraId="7504D956" w14:textId="35DDE0AE" w:rsidR="00031AF0" w:rsidRPr="001C1B9C" w:rsidRDefault="00543734" w:rsidP="005016AD">
      <w:pPr>
        <w:pStyle w:val="ListParagraph"/>
        <w:numPr>
          <w:ilvl w:val="0"/>
          <w:numId w:val="9"/>
        </w:numPr>
        <w:jc w:val="both"/>
        <w:rPr>
          <w:i/>
          <w:iCs/>
          <w:color w:val="000000" w:themeColor="text1"/>
        </w:rPr>
      </w:pPr>
      <w:r w:rsidRPr="001C1B9C">
        <w:t>‘</w:t>
      </w:r>
      <w:r w:rsidR="001656DD" w:rsidRPr="001C1B9C">
        <w:t>Supplementary Planning Document Biodiversity Landscape and trees</w:t>
      </w:r>
      <w:r w:rsidRPr="001C1B9C">
        <w:t>’</w:t>
      </w:r>
      <w:r w:rsidR="001656DD" w:rsidRPr="001C1B9C">
        <w:t xml:space="preserve"> </w:t>
      </w:r>
      <w:r w:rsidR="00031AF0" w:rsidRPr="001C1B9C">
        <w:t xml:space="preserve">is an important document as it sets out buffer zones between development and natural features such </w:t>
      </w:r>
      <w:r w:rsidR="00031AF0" w:rsidRPr="001C1B9C">
        <w:lastRenderedPageBreak/>
        <w:t xml:space="preserve">as woodlands and rivers. I </w:t>
      </w:r>
      <w:r w:rsidR="00AE3C58" w:rsidRPr="001C1B9C">
        <w:t xml:space="preserve">would like the Local Plan to ensure that developments do </w:t>
      </w:r>
      <w:r w:rsidR="005016AD" w:rsidRPr="001C1B9C">
        <w:t xml:space="preserve">not </w:t>
      </w:r>
      <w:r w:rsidR="00AE3C58" w:rsidRPr="001C1B9C">
        <w:t>further damage local biodiversity by incorporating mandatory requirements for buffer zones, as follows:</w:t>
      </w:r>
    </w:p>
    <w:p w14:paraId="339E7A0F" w14:textId="6ECA8BD8" w:rsidR="00BE5C89" w:rsidRPr="001C1B9C" w:rsidRDefault="00BE5C89" w:rsidP="00940E40">
      <w:pPr>
        <w:pStyle w:val="ListParagraph"/>
        <w:numPr>
          <w:ilvl w:val="0"/>
          <w:numId w:val="10"/>
        </w:numPr>
        <w:ind w:left="1080"/>
        <w:jc w:val="both"/>
        <w:rPr>
          <w:i/>
          <w:iCs/>
          <w:color w:val="000000" w:themeColor="text1"/>
        </w:rPr>
      </w:pPr>
      <w:r w:rsidRPr="001C1B9C">
        <w:t>Woodlands</w:t>
      </w:r>
      <w:r w:rsidR="003C6F8D" w:rsidRPr="001C1B9C">
        <w:t xml:space="preserve">/ </w:t>
      </w:r>
      <w:r w:rsidRPr="001C1B9C">
        <w:t>Tree Belt</w:t>
      </w:r>
      <w:r w:rsidR="00425C71" w:rsidRPr="001C1B9C">
        <w:t>s</w:t>
      </w:r>
      <w:r w:rsidR="00F97CCF" w:rsidRPr="001C1B9C">
        <w:t xml:space="preserve"> </w:t>
      </w:r>
      <w:r w:rsidR="006F46D0" w:rsidRPr="001C1B9C">
        <w:t>–</w:t>
      </w:r>
      <w:r w:rsidRPr="001C1B9C">
        <w:t xml:space="preserve"> </w:t>
      </w:r>
      <w:r w:rsidR="00F97CCF" w:rsidRPr="001C1B9C">
        <w:t xml:space="preserve">Minimum buffer </w:t>
      </w:r>
      <w:r w:rsidR="006F46D0" w:rsidRPr="001C1B9C">
        <w:t>20m</w:t>
      </w:r>
      <w:r w:rsidR="00DA6CF5" w:rsidRPr="001C1B9C">
        <w:rPr>
          <w:rStyle w:val="EndnoteReference"/>
        </w:rPr>
        <w:endnoteReference w:id="1"/>
      </w:r>
    </w:p>
    <w:p w14:paraId="37C1D81F" w14:textId="3DCEF2CA" w:rsidR="00BE5C89" w:rsidRPr="001C1B9C" w:rsidRDefault="00BE5C89" w:rsidP="00AE3C58">
      <w:pPr>
        <w:pStyle w:val="ListParagraph"/>
        <w:numPr>
          <w:ilvl w:val="0"/>
          <w:numId w:val="10"/>
        </w:numPr>
        <w:ind w:left="1080"/>
        <w:jc w:val="both"/>
        <w:rPr>
          <w:i/>
          <w:iCs/>
          <w:color w:val="000000" w:themeColor="text1"/>
        </w:rPr>
      </w:pPr>
      <w:r w:rsidRPr="001C1B9C">
        <w:t xml:space="preserve">Hedgerows – </w:t>
      </w:r>
      <w:r w:rsidR="00F97CCF" w:rsidRPr="001C1B9C">
        <w:t xml:space="preserve">Minimum buffer </w:t>
      </w:r>
      <w:r w:rsidR="006F46D0" w:rsidRPr="001C1B9C">
        <w:t>5m</w:t>
      </w:r>
      <w:r w:rsidR="00DA6CF5" w:rsidRPr="001C1B9C">
        <w:rPr>
          <w:rStyle w:val="EndnoteReference"/>
        </w:rPr>
        <w:endnoteReference w:id="2"/>
      </w:r>
    </w:p>
    <w:p w14:paraId="115EB7F9" w14:textId="01404F4F" w:rsidR="00276229" w:rsidRPr="001C1B9C" w:rsidRDefault="00BE5C89" w:rsidP="00AE3C58">
      <w:pPr>
        <w:pStyle w:val="ListParagraph"/>
        <w:numPr>
          <w:ilvl w:val="0"/>
          <w:numId w:val="10"/>
        </w:numPr>
        <w:ind w:left="1080"/>
        <w:jc w:val="both"/>
      </w:pPr>
      <w:r w:rsidRPr="001C1B9C">
        <w:t xml:space="preserve">Watercourses </w:t>
      </w:r>
      <w:r w:rsidR="006F46D0" w:rsidRPr="001C1B9C">
        <w:t>–</w:t>
      </w:r>
      <w:r w:rsidRPr="001C1B9C">
        <w:t xml:space="preserve"> </w:t>
      </w:r>
      <w:r w:rsidR="00F97CCF" w:rsidRPr="001C1B9C">
        <w:t xml:space="preserve">Minimum buffer </w:t>
      </w:r>
      <w:r w:rsidR="006F46D0" w:rsidRPr="001C1B9C">
        <w:t>20m</w:t>
      </w:r>
      <w:r w:rsidR="00DA6CF5" w:rsidRPr="001C1B9C">
        <w:rPr>
          <w:rStyle w:val="EndnoteReference"/>
        </w:rPr>
        <w:endnoteReference w:id="3"/>
      </w:r>
    </w:p>
    <w:p w14:paraId="68DA980A" w14:textId="415F8045" w:rsidR="00BE5C89" w:rsidRPr="001C1B9C" w:rsidRDefault="00276229" w:rsidP="007E2CAB">
      <w:pPr>
        <w:pStyle w:val="ListParagraph"/>
        <w:numPr>
          <w:ilvl w:val="0"/>
          <w:numId w:val="10"/>
        </w:numPr>
        <w:ind w:left="1080"/>
        <w:jc w:val="both"/>
      </w:pPr>
      <w:r w:rsidRPr="001C1B9C">
        <w:t>Ponds – Minimum buffer 20m</w:t>
      </w:r>
      <w:r w:rsidR="00DA6CF5" w:rsidRPr="001C1B9C">
        <w:rPr>
          <w:rStyle w:val="EndnoteReference"/>
        </w:rPr>
        <w:endnoteReference w:id="4"/>
      </w:r>
      <w:r w:rsidRPr="001C1B9C">
        <w:t xml:space="preserve"> </w:t>
      </w:r>
    </w:p>
    <w:p w14:paraId="5A31BCC9" w14:textId="1963E6D3" w:rsidR="001656DD" w:rsidRPr="001C1B9C" w:rsidRDefault="00221689" w:rsidP="00BE5C89">
      <w:pPr>
        <w:pStyle w:val="ListParagraph"/>
        <w:jc w:val="both"/>
        <w:rPr>
          <w:i/>
          <w:iCs/>
          <w:color w:val="000000" w:themeColor="text1"/>
        </w:rPr>
      </w:pPr>
      <w:r w:rsidRPr="001C1B9C">
        <w:rPr>
          <w:color w:val="000000" w:themeColor="text1"/>
        </w:rPr>
        <w:t>[</w:t>
      </w:r>
      <w:r w:rsidRPr="001C1B9C">
        <w:rPr>
          <w:i/>
          <w:iCs/>
          <w:color w:val="000000" w:themeColor="text1"/>
        </w:rPr>
        <w:t>Draft for Regulation 18 Consultation, page 167].</w:t>
      </w:r>
    </w:p>
    <w:p w14:paraId="289AEE84" w14:textId="5ABD0AD4" w:rsidR="000179A1" w:rsidRPr="001C1B9C" w:rsidRDefault="000179A1" w:rsidP="00BE5C89">
      <w:pPr>
        <w:pStyle w:val="ListParagraph"/>
        <w:jc w:val="both"/>
        <w:rPr>
          <w:i/>
          <w:iCs/>
          <w:color w:val="000000" w:themeColor="text1"/>
        </w:rPr>
      </w:pPr>
    </w:p>
    <w:p w14:paraId="18E6BC96" w14:textId="77777777" w:rsidR="006D4059" w:rsidRPr="001C1B9C" w:rsidRDefault="006D4059" w:rsidP="006D4059">
      <w:pPr>
        <w:jc w:val="both"/>
        <w:rPr>
          <w:b/>
          <w:bCs/>
          <w:u w:val="single"/>
        </w:rPr>
      </w:pPr>
      <w:r w:rsidRPr="001C1B9C">
        <w:rPr>
          <w:b/>
          <w:bCs/>
          <w:u w:val="single"/>
        </w:rPr>
        <w:t xml:space="preserve">Other responses to the Climate Change and Ecological Emergencies  </w:t>
      </w:r>
    </w:p>
    <w:p w14:paraId="66DD7AB7" w14:textId="77777777" w:rsidR="006D4059" w:rsidRPr="001C1B9C" w:rsidRDefault="006D4059" w:rsidP="006D4059">
      <w:pPr>
        <w:jc w:val="both"/>
        <w:rPr>
          <w:color w:val="FF0000"/>
        </w:rPr>
      </w:pPr>
    </w:p>
    <w:p w14:paraId="45310EF6" w14:textId="4A1173B7" w:rsidR="006D4059" w:rsidRPr="001C1B9C" w:rsidRDefault="006D4059" w:rsidP="006D4059">
      <w:pPr>
        <w:jc w:val="both"/>
        <w:rPr>
          <w:color w:val="000000" w:themeColor="text1"/>
        </w:rPr>
      </w:pPr>
      <w:r w:rsidRPr="001C1B9C">
        <w:rPr>
          <w:color w:val="000000" w:themeColor="text1"/>
        </w:rPr>
        <w:t>Our valuable local chalk streams are in a particularly poor state, only 16% of designated rivers currently meet standards indicating good ecological health. I would therefore like to see the Local Plan:</w:t>
      </w:r>
    </w:p>
    <w:p w14:paraId="59B9AF79" w14:textId="3E663287" w:rsidR="006D4059" w:rsidRPr="001C1B9C" w:rsidRDefault="006D4059" w:rsidP="006D4059">
      <w:pPr>
        <w:pStyle w:val="ListParagraph"/>
        <w:numPr>
          <w:ilvl w:val="0"/>
          <w:numId w:val="16"/>
        </w:numPr>
        <w:jc w:val="both"/>
        <w:rPr>
          <w:color w:val="000000" w:themeColor="text1"/>
        </w:rPr>
      </w:pPr>
      <w:r w:rsidRPr="001C1B9C">
        <w:rPr>
          <w:color w:val="000000" w:themeColor="text1"/>
        </w:rPr>
        <w:t>afford them, a higher level of protection from damage arising from development</w:t>
      </w:r>
      <w:r w:rsidRPr="001C1B9C">
        <w:t xml:space="preserve">, aligned with </w:t>
      </w:r>
      <w:r w:rsidRPr="001C1B9C">
        <w:rPr>
          <w:rFonts w:ascii="Segoe UI" w:hAnsi="Segoe UI" w:cs="Segoe UI"/>
          <w:sz w:val="21"/>
          <w:szCs w:val="21"/>
        </w:rPr>
        <w:t>the Catchment Based Approach’s Chalk Stream Strategy and Implementation plan</w:t>
      </w:r>
      <w:r w:rsidRPr="001C1B9C">
        <w:t xml:space="preserve"> </w:t>
      </w:r>
      <w:r w:rsidRPr="001C1B9C">
        <w:rPr>
          <w:rFonts w:ascii="Segoe UI" w:hAnsi="Segoe UI" w:cs="Segoe UI"/>
          <w:sz w:val="21"/>
          <w:szCs w:val="21"/>
        </w:rPr>
        <w:t>(</w:t>
      </w:r>
      <w:hyperlink r:id="rId8" w:history="1">
        <w:r w:rsidRPr="001C1B9C">
          <w:rPr>
            <w:rStyle w:val="Hyperlink"/>
          </w:rPr>
          <w:t>https://catchmentbasedapproach.org/learn/chalk-stream-strategy-3/</w:t>
        </w:r>
      </w:hyperlink>
      <w:r w:rsidRPr="001C1B9C">
        <w:rPr>
          <w:rFonts w:ascii="Segoe UI" w:hAnsi="Segoe UI" w:cs="Segoe UI"/>
          <w:sz w:val="21"/>
          <w:szCs w:val="21"/>
        </w:rPr>
        <w:t>)</w:t>
      </w:r>
      <w:r w:rsidRPr="001C1B9C">
        <w:rPr>
          <w:color w:val="000000" w:themeColor="text1"/>
        </w:rPr>
        <w:t xml:space="preserve"> (</w:t>
      </w:r>
      <w:r w:rsidRPr="001C1B9C">
        <w:rPr>
          <w:i/>
          <w:iCs/>
          <w:color w:val="000000" w:themeColor="text1"/>
        </w:rPr>
        <w:t xml:space="preserve">Draft for Regulation 18 Consultation, ENV5, </w:t>
      </w:r>
      <w:r w:rsidRPr="001C1B9C">
        <w:rPr>
          <w:color w:val="000000" w:themeColor="text1"/>
        </w:rPr>
        <w:t xml:space="preserve">page 159-162) </w:t>
      </w:r>
    </w:p>
    <w:p w14:paraId="438D8B80" w14:textId="6926CC30" w:rsidR="006D4059" w:rsidRPr="001C1B9C" w:rsidRDefault="006D4059" w:rsidP="006D4059">
      <w:pPr>
        <w:pStyle w:val="ListParagraph"/>
        <w:numPr>
          <w:ilvl w:val="0"/>
          <w:numId w:val="16"/>
        </w:numPr>
        <w:spacing w:before="100" w:beforeAutospacing="1" w:after="100" w:afterAutospacing="1"/>
        <w:jc w:val="both"/>
        <w:rPr>
          <w:color w:val="000000" w:themeColor="text1"/>
        </w:rPr>
      </w:pPr>
      <w:r w:rsidRPr="001C1B9C">
        <w:rPr>
          <w:rFonts w:ascii="Segoe UI" w:hAnsi="Segoe UI" w:cs="Segoe UI"/>
          <w:color w:val="000000" w:themeColor="text1"/>
          <w:sz w:val="21"/>
          <w:szCs w:val="21"/>
        </w:rPr>
        <w:t xml:space="preserve">include an obligation on developers to contribute to investment in water supply and treatment infrastructure (avoiding additional burden on chalk aquifer abstraction) </w:t>
      </w:r>
      <w:r w:rsidRPr="001C1B9C">
        <w:rPr>
          <w:color w:val="000000" w:themeColor="text1"/>
        </w:rPr>
        <w:t>(</w:t>
      </w:r>
      <w:r w:rsidRPr="001C1B9C">
        <w:rPr>
          <w:i/>
          <w:iCs/>
          <w:color w:val="000000" w:themeColor="text1"/>
        </w:rPr>
        <w:t xml:space="preserve">Draft for Regulation 18 Consultation, ENV9, </w:t>
      </w:r>
      <w:r w:rsidRPr="001C1B9C">
        <w:rPr>
          <w:color w:val="000000" w:themeColor="text1"/>
        </w:rPr>
        <w:t xml:space="preserve">page 176-179). </w:t>
      </w:r>
    </w:p>
    <w:p w14:paraId="59D4E0A1" w14:textId="1C691A3F" w:rsidR="00C07361" w:rsidRPr="001C1B9C" w:rsidRDefault="0014166B" w:rsidP="00742671">
      <w:pPr>
        <w:jc w:val="both"/>
        <w:rPr>
          <w:b/>
          <w:bCs/>
          <w:u w:val="single"/>
        </w:rPr>
      </w:pPr>
      <w:r w:rsidRPr="001C1B9C">
        <w:rPr>
          <w:b/>
          <w:bCs/>
          <w:u w:val="single"/>
        </w:rPr>
        <w:t>Application of the Local Plan</w:t>
      </w:r>
    </w:p>
    <w:p w14:paraId="606EB68B" w14:textId="78F6109A" w:rsidR="00B26619" w:rsidRPr="001C1B9C" w:rsidRDefault="00B26619" w:rsidP="00742671">
      <w:pPr>
        <w:jc w:val="both"/>
        <w:rPr>
          <w:color w:val="000000" w:themeColor="text1"/>
        </w:rPr>
      </w:pPr>
    </w:p>
    <w:p w14:paraId="7F0CBECE" w14:textId="0CAF24BB" w:rsidR="008B7EC7" w:rsidRPr="001C1B9C" w:rsidRDefault="00AE3C58" w:rsidP="00742671">
      <w:pPr>
        <w:jc w:val="both"/>
        <w:rPr>
          <w:color w:val="000000" w:themeColor="text1"/>
        </w:rPr>
      </w:pPr>
      <w:r w:rsidRPr="001C1B9C">
        <w:rPr>
          <w:color w:val="000000" w:themeColor="text1"/>
        </w:rPr>
        <w:t xml:space="preserve">Whilst I am aware that the Council needs to demonstrate that it can meet its </w:t>
      </w:r>
      <w:r w:rsidR="00B26619" w:rsidRPr="001C1B9C">
        <w:rPr>
          <w:color w:val="000000" w:themeColor="text1"/>
        </w:rPr>
        <w:t xml:space="preserve">housing supply </w:t>
      </w:r>
      <w:r w:rsidRPr="001C1B9C">
        <w:rPr>
          <w:color w:val="000000" w:themeColor="text1"/>
        </w:rPr>
        <w:t xml:space="preserve">obligations it is important that this does not </w:t>
      </w:r>
      <w:r w:rsidR="0014166B" w:rsidRPr="001C1B9C">
        <w:rPr>
          <w:color w:val="000000" w:themeColor="text1"/>
        </w:rPr>
        <w:t>over</w:t>
      </w:r>
      <w:r w:rsidR="001C1B9C">
        <w:rPr>
          <w:color w:val="000000" w:themeColor="text1"/>
        </w:rPr>
        <w:t>r</w:t>
      </w:r>
      <w:r w:rsidRPr="001C1B9C">
        <w:rPr>
          <w:color w:val="000000" w:themeColor="text1"/>
        </w:rPr>
        <w:t xml:space="preserve">ide </w:t>
      </w:r>
      <w:r w:rsidR="00B26619" w:rsidRPr="001C1B9C">
        <w:rPr>
          <w:color w:val="000000" w:themeColor="text1"/>
        </w:rPr>
        <w:t xml:space="preserve">obligations on developers to submit proposals that </w:t>
      </w:r>
      <w:r w:rsidR="004748FE" w:rsidRPr="001C1B9C">
        <w:rPr>
          <w:color w:val="000000" w:themeColor="text1"/>
        </w:rPr>
        <w:t>protect and enhance our local biodiversity. Furthermore, i</w:t>
      </w:r>
      <w:r w:rsidR="0014166B" w:rsidRPr="001C1B9C">
        <w:rPr>
          <w:color w:val="000000" w:themeColor="text1"/>
        </w:rPr>
        <w:t>nclusion</w:t>
      </w:r>
      <w:r w:rsidR="004748FE" w:rsidRPr="001C1B9C">
        <w:rPr>
          <w:color w:val="000000" w:themeColor="text1"/>
        </w:rPr>
        <w:t xml:space="preserve"> of a development with</w:t>
      </w:r>
      <w:r w:rsidR="0014166B" w:rsidRPr="001C1B9C">
        <w:rPr>
          <w:color w:val="000000" w:themeColor="text1"/>
        </w:rPr>
        <w:t xml:space="preserve">in </w:t>
      </w:r>
      <w:r w:rsidR="004748FE" w:rsidRPr="001C1B9C">
        <w:rPr>
          <w:color w:val="000000" w:themeColor="text1"/>
        </w:rPr>
        <w:t>the Local P</w:t>
      </w:r>
      <w:r w:rsidR="0014166B" w:rsidRPr="001C1B9C">
        <w:rPr>
          <w:color w:val="000000" w:themeColor="text1"/>
        </w:rPr>
        <w:t xml:space="preserve">lan </w:t>
      </w:r>
      <w:r w:rsidR="004748FE" w:rsidRPr="001C1B9C">
        <w:rPr>
          <w:color w:val="000000" w:themeColor="text1"/>
        </w:rPr>
        <w:t>must not be perceived as a</w:t>
      </w:r>
      <w:r w:rsidR="0014166B" w:rsidRPr="001C1B9C">
        <w:rPr>
          <w:color w:val="000000" w:themeColor="text1"/>
        </w:rPr>
        <w:t xml:space="preserve"> carte blanche in terms of assumed approval </w:t>
      </w:r>
      <w:r w:rsidR="004748FE" w:rsidRPr="001C1B9C">
        <w:rPr>
          <w:color w:val="000000" w:themeColor="text1"/>
        </w:rPr>
        <w:t xml:space="preserve">of detailed proposals </w:t>
      </w:r>
      <w:r w:rsidR="0014166B" w:rsidRPr="001C1B9C">
        <w:rPr>
          <w:color w:val="000000" w:themeColor="text1"/>
        </w:rPr>
        <w:t xml:space="preserve">irrespective of the quality of </w:t>
      </w:r>
      <w:r w:rsidR="004748FE" w:rsidRPr="001C1B9C">
        <w:rPr>
          <w:color w:val="000000" w:themeColor="text1"/>
        </w:rPr>
        <w:t xml:space="preserve">the </w:t>
      </w:r>
      <w:r w:rsidR="00F1092D" w:rsidRPr="001C1B9C">
        <w:rPr>
          <w:color w:val="000000" w:themeColor="text1"/>
        </w:rPr>
        <w:t>eco</w:t>
      </w:r>
      <w:r w:rsidR="004748FE" w:rsidRPr="001C1B9C">
        <w:rPr>
          <w:color w:val="000000" w:themeColor="text1"/>
        </w:rPr>
        <w:t>logical assessment and proposals supporting individual applications.</w:t>
      </w:r>
    </w:p>
    <w:p w14:paraId="3B7D4A4D" w14:textId="77777777" w:rsidR="005016AD" w:rsidRPr="001C1B9C" w:rsidRDefault="005016AD" w:rsidP="00742671">
      <w:pPr>
        <w:jc w:val="both"/>
      </w:pPr>
    </w:p>
    <w:p w14:paraId="4B51967B" w14:textId="16326D0B" w:rsidR="005822FD" w:rsidRPr="001C1B9C" w:rsidRDefault="005822FD" w:rsidP="005822FD">
      <w:pPr>
        <w:jc w:val="both"/>
        <w:rPr>
          <w:color w:val="000000" w:themeColor="text1"/>
        </w:rPr>
      </w:pPr>
      <w:r w:rsidRPr="001C1B9C">
        <w:rPr>
          <w:color w:val="000000" w:themeColor="text1"/>
        </w:rPr>
        <w:t>The plan includes a statement that</w:t>
      </w:r>
      <w:r w:rsidR="00845102" w:rsidRPr="001C1B9C">
        <w:rPr>
          <w:color w:val="000000" w:themeColor="text1"/>
        </w:rPr>
        <w:t>: “Proposals</w:t>
      </w:r>
      <w:r w:rsidRPr="001C1B9C">
        <w:rPr>
          <w:color w:val="000000" w:themeColor="text1"/>
        </w:rPr>
        <w:t xml:space="preserve"> that would harm the green and blue infrastructure network will only be permitted in exceptional circumstances and any negative impact arising from the development must be wholly mitigated to the satisfaction of the council” [</w:t>
      </w:r>
      <w:r w:rsidRPr="001C1B9C">
        <w:rPr>
          <w:i/>
          <w:iCs/>
          <w:color w:val="000000" w:themeColor="text1"/>
        </w:rPr>
        <w:t>Draft for Regulation 18 Consultation, page 172</w:t>
      </w:r>
      <w:r w:rsidRPr="001C1B9C">
        <w:rPr>
          <w:color w:val="000000" w:themeColor="text1"/>
        </w:rPr>
        <w:t xml:space="preserve">]. To ensure that this represents an effective mechanism for preventing such harm a definition is required as to what constitutes “exceptional circumstances”, together with objective criteria against which the council can judge the satisfactoriness of proposed mitigation. </w:t>
      </w:r>
    </w:p>
    <w:p w14:paraId="234AE950" w14:textId="77777777" w:rsidR="00D55917" w:rsidRPr="001C1B9C" w:rsidRDefault="00D55917" w:rsidP="009E00D1">
      <w:pPr>
        <w:jc w:val="both"/>
        <w:rPr>
          <w:color w:val="000000" w:themeColor="text1"/>
        </w:rPr>
      </w:pPr>
    </w:p>
    <w:p w14:paraId="0777549D" w14:textId="581E73BC" w:rsidR="000B66A0" w:rsidRPr="001C1B9C" w:rsidRDefault="007E2CAB" w:rsidP="009E00D1">
      <w:pPr>
        <w:jc w:val="both"/>
        <w:rPr>
          <w:color w:val="000000" w:themeColor="text1"/>
        </w:rPr>
      </w:pPr>
      <w:r w:rsidRPr="001C1B9C">
        <w:rPr>
          <w:color w:val="000000" w:themeColor="text1"/>
        </w:rPr>
        <w:t>T</w:t>
      </w:r>
      <w:r w:rsidR="00AE3C58" w:rsidRPr="001C1B9C">
        <w:rPr>
          <w:color w:val="000000" w:themeColor="text1"/>
        </w:rPr>
        <w:t xml:space="preserve">he </w:t>
      </w:r>
      <w:r w:rsidR="004748FE" w:rsidRPr="001C1B9C">
        <w:rPr>
          <w:color w:val="000000" w:themeColor="text1"/>
        </w:rPr>
        <w:t xml:space="preserve">Local Plan </w:t>
      </w:r>
      <w:r w:rsidRPr="001C1B9C">
        <w:rPr>
          <w:color w:val="000000" w:themeColor="text1"/>
        </w:rPr>
        <w:t>also</w:t>
      </w:r>
      <w:r w:rsidR="00AE3C58" w:rsidRPr="001C1B9C">
        <w:rPr>
          <w:color w:val="000000" w:themeColor="text1"/>
        </w:rPr>
        <w:t xml:space="preserve"> needs to be supported by </w:t>
      </w:r>
      <w:r w:rsidR="009E00D1" w:rsidRPr="001C1B9C">
        <w:rPr>
          <w:color w:val="000000" w:themeColor="text1"/>
        </w:rPr>
        <w:t>training, guidance, and communications to ensure that all those involved in the planning process understand the changes and correctly apply new policy.</w:t>
      </w:r>
    </w:p>
    <w:p w14:paraId="07F5C4CA" w14:textId="77777777" w:rsidR="008408C1" w:rsidRPr="001C1B9C" w:rsidRDefault="008408C1" w:rsidP="00D96AD1">
      <w:pPr>
        <w:jc w:val="both"/>
        <w:rPr>
          <w:b/>
          <w:bCs/>
          <w:color w:val="000000" w:themeColor="text1"/>
          <w:u w:val="single"/>
        </w:rPr>
      </w:pPr>
    </w:p>
    <w:p w14:paraId="04F79847" w14:textId="77777777" w:rsidR="00F876E2" w:rsidRPr="001C1B9C" w:rsidRDefault="00F876E2" w:rsidP="00D96AD1">
      <w:pPr>
        <w:jc w:val="both"/>
        <w:rPr>
          <w:b/>
          <w:bCs/>
          <w:color w:val="000000" w:themeColor="text1"/>
          <w:u w:val="single"/>
        </w:rPr>
      </w:pPr>
    </w:p>
    <w:p w14:paraId="0E58270D" w14:textId="77777777" w:rsidR="00F876E2" w:rsidRPr="001C1B9C" w:rsidRDefault="00F876E2" w:rsidP="00D96AD1">
      <w:pPr>
        <w:jc w:val="both"/>
        <w:rPr>
          <w:b/>
          <w:bCs/>
          <w:color w:val="000000" w:themeColor="text1"/>
          <w:u w:val="single"/>
        </w:rPr>
      </w:pPr>
    </w:p>
    <w:p w14:paraId="26506E41" w14:textId="77777777" w:rsidR="00F876E2" w:rsidRPr="001C1B9C" w:rsidRDefault="00F876E2" w:rsidP="00D96AD1">
      <w:pPr>
        <w:jc w:val="both"/>
        <w:rPr>
          <w:b/>
          <w:bCs/>
          <w:color w:val="000000" w:themeColor="text1"/>
          <w:u w:val="single"/>
        </w:rPr>
      </w:pPr>
    </w:p>
    <w:p w14:paraId="509A765E" w14:textId="77777777" w:rsidR="00F876E2" w:rsidRPr="001C1B9C" w:rsidRDefault="00F876E2" w:rsidP="00D96AD1">
      <w:pPr>
        <w:jc w:val="both"/>
        <w:rPr>
          <w:b/>
          <w:bCs/>
          <w:color w:val="000000" w:themeColor="text1"/>
          <w:u w:val="single"/>
        </w:rPr>
      </w:pPr>
    </w:p>
    <w:p w14:paraId="55FA2202" w14:textId="6935D0DC" w:rsidR="00D22484" w:rsidRPr="001C1B9C" w:rsidRDefault="00D22484" w:rsidP="00D96AD1">
      <w:pPr>
        <w:jc w:val="both"/>
        <w:rPr>
          <w:b/>
          <w:bCs/>
          <w:color w:val="000000" w:themeColor="text1"/>
          <w:u w:val="single"/>
        </w:rPr>
      </w:pPr>
      <w:r w:rsidRPr="001C1B9C">
        <w:rPr>
          <w:b/>
          <w:bCs/>
          <w:color w:val="000000" w:themeColor="text1"/>
          <w:u w:val="single"/>
        </w:rPr>
        <w:lastRenderedPageBreak/>
        <w:t>Conclusion</w:t>
      </w:r>
    </w:p>
    <w:p w14:paraId="768FE084" w14:textId="77777777" w:rsidR="00F876E2" w:rsidRPr="001C1B9C" w:rsidRDefault="00F876E2" w:rsidP="00D96AD1">
      <w:pPr>
        <w:jc w:val="both"/>
        <w:rPr>
          <w:color w:val="000000" w:themeColor="text1"/>
        </w:rPr>
      </w:pPr>
    </w:p>
    <w:p w14:paraId="6C09D03B" w14:textId="047EB011" w:rsidR="004748FE" w:rsidRPr="001C1B9C" w:rsidRDefault="009E00D1" w:rsidP="00D96AD1">
      <w:pPr>
        <w:jc w:val="both"/>
        <w:rPr>
          <w:color w:val="000000" w:themeColor="text1"/>
        </w:rPr>
      </w:pPr>
      <w:r w:rsidRPr="001C1B9C">
        <w:rPr>
          <w:color w:val="000000" w:themeColor="text1"/>
        </w:rPr>
        <w:t xml:space="preserve">As the </w:t>
      </w:r>
      <w:r w:rsidR="00DD6867" w:rsidRPr="001C1B9C">
        <w:rPr>
          <w:color w:val="000000" w:themeColor="text1"/>
        </w:rPr>
        <w:t xml:space="preserve">Local Plan </w:t>
      </w:r>
      <w:r w:rsidRPr="001C1B9C">
        <w:rPr>
          <w:color w:val="000000" w:themeColor="text1"/>
        </w:rPr>
        <w:t xml:space="preserve">is intended </w:t>
      </w:r>
      <w:r w:rsidR="00DD6867" w:rsidRPr="001C1B9C">
        <w:rPr>
          <w:color w:val="000000" w:themeColor="text1"/>
        </w:rPr>
        <w:t>to “set the planning policy framework for the area, guide future growth and change</w:t>
      </w:r>
      <w:r w:rsidR="004F3DB9" w:rsidRPr="001C1B9C">
        <w:rPr>
          <w:color w:val="000000" w:themeColor="text1"/>
        </w:rPr>
        <w:t>” [</w:t>
      </w:r>
      <w:r w:rsidR="00DD6867" w:rsidRPr="001C1B9C">
        <w:rPr>
          <w:i/>
          <w:iCs/>
          <w:color w:val="000000" w:themeColor="text1"/>
        </w:rPr>
        <w:t>Draft for Regulation 18 Consultation, page 6]</w:t>
      </w:r>
      <w:r w:rsidRPr="001C1B9C">
        <w:rPr>
          <w:i/>
          <w:iCs/>
          <w:color w:val="000000" w:themeColor="text1"/>
        </w:rPr>
        <w:t xml:space="preserve">, </w:t>
      </w:r>
      <w:r w:rsidR="00855DBC" w:rsidRPr="001C1B9C">
        <w:rPr>
          <w:color w:val="000000" w:themeColor="text1"/>
        </w:rPr>
        <w:t>it is imperative that</w:t>
      </w:r>
      <w:r w:rsidR="008A5D5A" w:rsidRPr="001C1B9C">
        <w:rPr>
          <w:color w:val="000000" w:themeColor="text1"/>
        </w:rPr>
        <w:t xml:space="preserve"> </w:t>
      </w:r>
      <w:r w:rsidRPr="001C1B9C">
        <w:rPr>
          <w:color w:val="000000" w:themeColor="text1"/>
        </w:rPr>
        <w:t>it</w:t>
      </w:r>
      <w:r w:rsidR="008A5D5A" w:rsidRPr="001C1B9C">
        <w:rPr>
          <w:color w:val="000000" w:themeColor="text1"/>
        </w:rPr>
        <w:t xml:space="preserve"> provides clarity o</w:t>
      </w:r>
      <w:r w:rsidR="004F3DB9" w:rsidRPr="001C1B9C">
        <w:rPr>
          <w:color w:val="000000" w:themeColor="text1"/>
        </w:rPr>
        <w:t>n</w:t>
      </w:r>
      <w:r w:rsidR="008A5D5A" w:rsidRPr="001C1B9C">
        <w:rPr>
          <w:color w:val="000000" w:themeColor="text1"/>
        </w:rPr>
        <w:t xml:space="preserve"> how national policy is expected to be implemented locally. </w:t>
      </w:r>
    </w:p>
    <w:p w14:paraId="47E0D395" w14:textId="0B353041" w:rsidR="00BD02D6" w:rsidRPr="001C1B9C" w:rsidRDefault="00BD02D6" w:rsidP="00D96AD1">
      <w:pPr>
        <w:jc w:val="both"/>
        <w:rPr>
          <w:color w:val="000000" w:themeColor="text1"/>
        </w:rPr>
      </w:pPr>
    </w:p>
    <w:p w14:paraId="7F9AE725" w14:textId="06D56187" w:rsidR="006B1B2C" w:rsidRPr="001C1B9C" w:rsidRDefault="009E00D1" w:rsidP="006B1B2C">
      <w:pPr>
        <w:jc w:val="both"/>
        <w:rPr>
          <w:color w:val="000000" w:themeColor="text1"/>
        </w:rPr>
      </w:pPr>
      <w:r w:rsidRPr="001C1B9C">
        <w:rPr>
          <w:color w:val="000000" w:themeColor="text1"/>
        </w:rPr>
        <w:t>To avoid further impacts on our local ecology and biodiversity, I would like to see the planning process supported by strong guidelines and objective evi</w:t>
      </w:r>
      <w:r w:rsidR="005016AD" w:rsidRPr="001C1B9C">
        <w:rPr>
          <w:color w:val="000000" w:themeColor="text1"/>
        </w:rPr>
        <w:t>de</w:t>
      </w:r>
      <w:r w:rsidRPr="001C1B9C">
        <w:rPr>
          <w:color w:val="000000" w:themeColor="text1"/>
        </w:rPr>
        <w:t xml:space="preserve">nce, as set out in this letter. I am </w:t>
      </w:r>
      <w:r w:rsidR="006B1B2C" w:rsidRPr="001C1B9C">
        <w:rPr>
          <w:color w:val="000000" w:themeColor="text1"/>
        </w:rPr>
        <w:t xml:space="preserve">confident that failure to implement these types of measure will ultimately further erode local biodiversity and contribute to the current crises. </w:t>
      </w:r>
    </w:p>
    <w:p w14:paraId="6E033F39" w14:textId="77777777" w:rsidR="008408C1" w:rsidRPr="001C1B9C" w:rsidRDefault="008408C1" w:rsidP="00D96AD1">
      <w:pPr>
        <w:jc w:val="both"/>
        <w:rPr>
          <w:color w:val="000000" w:themeColor="text1"/>
        </w:rPr>
      </w:pPr>
    </w:p>
    <w:p w14:paraId="1CD9FF40" w14:textId="5AEB4D86" w:rsidR="0034531C" w:rsidRPr="001C1B9C" w:rsidRDefault="0005675B" w:rsidP="00D96AD1">
      <w:pPr>
        <w:jc w:val="both"/>
        <w:rPr>
          <w:color w:val="000000" w:themeColor="text1"/>
        </w:rPr>
      </w:pPr>
      <w:r w:rsidRPr="001C1B9C">
        <w:rPr>
          <w:color w:val="000000" w:themeColor="text1"/>
        </w:rPr>
        <w:t>I</w:t>
      </w:r>
      <w:r w:rsidR="00B03883" w:rsidRPr="001C1B9C">
        <w:rPr>
          <w:color w:val="000000" w:themeColor="text1"/>
        </w:rPr>
        <w:t xml:space="preserve"> look forward to seeing </w:t>
      </w:r>
      <w:r w:rsidRPr="001C1B9C">
        <w:rPr>
          <w:color w:val="000000" w:themeColor="text1"/>
        </w:rPr>
        <w:t xml:space="preserve">the Council </w:t>
      </w:r>
      <w:r w:rsidR="00B03883" w:rsidRPr="001C1B9C">
        <w:rPr>
          <w:color w:val="000000" w:themeColor="text1"/>
        </w:rPr>
        <w:t>embrace th</w:t>
      </w:r>
      <w:r w:rsidRPr="001C1B9C">
        <w:rPr>
          <w:color w:val="000000" w:themeColor="text1"/>
        </w:rPr>
        <w:t>is</w:t>
      </w:r>
      <w:r w:rsidR="00B03883" w:rsidRPr="001C1B9C">
        <w:rPr>
          <w:color w:val="000000" w:themeColor="text1"/>
        </w:rPr>
        <w:t xml:space="preserve"> opportunity to </w:t>
      </w:r>
      <w:r w:rsidR="0034531C" w:rsidRPr="001C1B9C">
        <w:rPr>
          <w:color w:val="000000" w:themeColor="text1"/>
        </w:rPr>
        <w:t>set and enforce effective standards for future development</w:t>
      </w:r>
      <w:r w:rsidRPr="001C1B9C">
        <w:rPr>
          <w:color w:val="000000" w:themeColor="text1"/>
        </w:rPr>
        <w:t>.</w:t>
      </w:r>
    </w:p>
    <w:p w14:paraId="4257E5F9" w14:textId="411E48F0" w:rsidR="00742671" w:rsidRPr="001C1B9C" w:rsidRDefault="00742671" w:rsidP="00742671">
      <w:pPr>
        <w:jc w:val="both"/>
      </w:pPr>
    </w:p>
    <w:p w14:paraId="41E103F7" w14:textId="3620C159" w:rsidR="00742671" w:rsidRPr="001C1B9C" w:rsidRDefault="00742671" w:rsidP="00742671">
      <w:pPr>
        <w:jc w:val="both"/>
        <w:rPr>
          <w:color w:val="000000" w:themeColor="text1"/>
        </w:rPr>
      </w:pPr>
      <w:r w:rsidRPr="001C1B9C">
        <w:rPr>
          <w:color w:val="000000" w:themeColor="text1"/>
        </w:rPr>
        <w:t xml:space="preserve">Yours </w:t>
      </w:r>
      <w:r w:rsidR="00724367" w:rsidRPr="001C1B9C">
        <w:rPr>
          <w:color w:val="000000" w:themeColor="text1"/>
        </w:rPr>
        <w:t>faithfully</w:t>
      </w:r>
      <w:r w:rsidR="001C1B9C">
        <w:rPr>
          <w:color w:val="000000" w:themeColor="text1"/>
        </w:rPr>
        <w:t>,</w:t>
      </w:r>
    </w:p>
    <w:p w14:paraId="18DE8798" w14:textId="19236C33" w:rsidR="00742671" w:rsidRPr="001C1B9C" w:rsidRDefault="00742671" w:rsidP="00742671">
      <w:pPr>
        <w:jc w:val="both"/>
      </w:pPr>
    </w:p>
    <w:p w14:paraId="0F0EB93B" w14:textId="20FEEF87" w:rsidR="00724367" w:rsidRPr="001C1B9C" w:rsidRDefault="00724367" w:rsidP="00742671">
      <w:pPr>
        <w:jc w:val="both"/>
      </w:pPr>
    </w:p>
    <w:p w14:paraId="0C2218F4" w14:textId="4AD2F7C6" w:rsidR="00742671" w:rsidRPr="001C1B9C" w:rsidRDefault="0016353E" w:rsidP="0005675B">
      <w:pPr>
        <w:jc w:val="both"/>
        <w:rPr>
          <w:color w:val="FF0000"/>
        </w:rPr>
      </w:pPr>
      <w:r w:rsidRPr="001C1B9C">
        <w:rPr>
          <w:color w:val="FF0000"/>
        </w:rPr>
        <w:t>[Insert your name here]</w:t>
      </w:r>
    </w:p>
    <w:p w14:paraId="1881FFF0" w14:textId="77777777" w:rsidR="00DA6CF5" w:rsidRPr="001C1B9C" w:rsidRDefault="00DA6CF5" w:rsidP="00DA6CF5">
      <w:pPr>
        <w:pStyle w:val="FootnoteText"/>
        <w:rPr>
          <w:color w:val="FF0000"/>
        </w:rPr>
      </w:pPr>
    </w:p>
    <w:p w14:paraId="21E3BC10" w14:textId="77777777" w:rsidR="00DA6CF5" w:rsidRPr="0005675B" w:rsidRDefault="00DA6CF5" w:rsidP="0005675B">
      <w:pPr>
        <w:jc w:val="both"/>
        <w:rPr>
          <w:color w:val="FF0000"/>
          <w:lang w:val="en-US"/>
        </w:rPr>
      </w:pPr>
    </w:p>
    <w:sectPr w:rsidR="00DA6CF5" w:rsidRPr="0005675B" w:rsidSect="009B5A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8CBE0" w14:textId="77777777" w:rsidR="009B5A19" w:rsidRPr="001C1B9C" w:rsidRDefault="009B5A19" w:rsidP="0014166B">
      <w:r w:rsidRPr="001C1B9C">
        <w:separator/>
      </w:r>
    </w:p>
  </w:endnote>
  <w:endnote w:type="continuationSeparator" w:id="0">
    <w:p w14:paraId="446B0A18" w14:textId="77777777" w:rsidR="009B5A19" w:rsidRPr="001C1B9C" w:rsidRDefault="009B5A19" w:rsidP="0014166B">
      <w:r w:rsidRPr="001C1B9C">
        <w:continuationSeparator/>
      </w:r>
    </w:p>
  </w:endnote>
  <w:endnote w:id="1">
    <w:p w14:paraId="6B63D2F4" w14:textId="0EA4EF53" w:rsidR="00DA6CF5" w:rsidRPr="001C1B9C" w:rsidRDefault="00DA6CF5" w:rsidP="00453F46">
      <w:pPr>
        <w:jc w:val="both"/>
        <w:rPr>
          <w:color w:val="000000" w:themeColor="text1"/>
          <w:sz w:val="20"/>
          <w:szCs w:val="20"/>
        </w:rPr>
      </w:pPr>
      <w:r w:rsidRPr="001C1B9C">
        <w:rPr>
          <w:rStyle w:val="EndnoteReference"/>
        </w:rPr>
        <w:endnoteRef/>
      </w:r>
      <w:r w:rsidRPr="001C1B9C">
        <w:t xml:space="preserve"> </w:t>
      </w:r>
      <w:r w:rsidRPr="001C1B9C">
        <w:rPr>
          <w:sz w:val="20"/>
          <w:szCs w:val="20"/>
        </w:rPr>
        <w:t>1) Tree health is dependent upon protection of root systems, which are approximately the same size as the tree canopy. 2) To ensure survival, trees need to be adequately insulated from the localised impact on the water table and from ground compaction, arising from adjacent development. 3</w:t>
      </w:r>
      <w:r w:rsidRPr="001C1B9C">
        <w:rPr>
          <w:color w:val="000000" w:themeColor="text1"/>
          <w:sz w:val="20"/>
          <w:szCs w:val="20"/>
        </w:rPr>
        <w:t>) Where buffers are less than 20m, the zone of influence of developments will impact upon bat species for which tree/ woodland margins are vital corridors/ feeding territory.</w:t>
      </w:r>
    </w:p>
  </w:endnote>
  <w:endnote w:id="2">
    <w:p w14:paraId="4744F391" w14:textId="687DFE0B" w:rsidR="00DA6CF5" w:rsidRPr="001C1B9C" w:rsidRDefault="00DA6CF5" w:rsidP="00453F46">
      <w:pPr>
        <w:jc w:val="both"/>
        <w:rPr>
          <w:color w:val="000000" w:themeColor="text1"/>
          <w:sz w:val="20"/>
          <w:szCs w:val="20"/>
        </w:rPr>
      </w:pPr>
      <w:r w:rsidRPr="001C1B9C">
        <w:rPr>
          <w:rStyle w:val="EndnoteReference"/>
        </w:rPr>
        <w:endnoteRef/>
      </w:r>
      <w:r w:rsidRPr="001C1B9C">
        <w:t xml:space="preserve"> </w:t>
      </w:r>
      <w:r w:rsidRPr="001C1B9C">
        <w:rPr>
          <w:sz w:val="20"/>
          <w:szCs w:val="20"/>
        </w:rPr>
        <w:t>1) As per woodlands (but on a smaller scale reflecting relative size and extent of root systems). 2) In an increasingly fragmented landscape, hedgerows are becoming a critical habitat and means of connectivity for remaining wildlife. Buffer zones need to be sufficient to mitigate the impact of</w:t>
      </w:r>
      <w:r w:rsidRPr="001C1B9C">
        <w:rPr>
          <w:color w:val="000000" w:themeColor="text1"/>
          <w:sz w:val="20"/>
          <w:szCs w:val="20"/>
        </w:rPr>
        <w:t xml:space="preserve"> the zones of influence of human activity associated with residential developments on the habitats and natural behaviour patterns of species (e.g.: feeding corridors for bats, nesting for birds and hibernation locations for Hazel Dormice).</w:t>
      </w:r>
    </w:p>
  </w:endnote>
  <w:endnote w:id="3">
    <w:p w14:paraId="3FF0DDAD" w14:textId="4487E35B" w:rsidR="00DA6CF5" w:rsidRPr="001C1B9C" w:rsidRDefault="00DA6CF5" w:rsidP="002E398D">
      <w:pPr>
        <w:pStyle w:val="EndnoteText"/>
        <w:jc w:val="both"/>
        <w:rPr>
          <w:color w:val="000000" w:themeColor="text1"/>
        </w:rPr>
      </w:pPr>
      <w:r w:rsidRPr="001C1B9C">
        <w:rPr>
          <w:rStyle w:val="EndnoteReference"/>
        </w:rPr>
        <w:endnoteRef/>
      </w:r>
      <w:r w:rsidRPr="001C1B9C">
        <w:t xml:space="preserve"> </w:t>
      </w:r>
      <w:r w:rsidRPr="001C1B9C">
        <w:rPr>
          <w:color w:val="000000" w:themeColor="text1"/>
        </w:rPr>
        <w:t>1) Reduction of the impact of residential development on water quality and thereby species (e.g.: White Clawed Crayfish, Brown Trout). 2) Supporting environmental stability by moderating the speed and volume of water ‘run-off’ from the developed landscape. 3) Retaining critical marginal habitat for species which depend upon water and adjacent terrestrial habitats {e.g.: Water Vole, Otter, invertebrates, water course marginal flora).</w:t>
      </w:r>
    </w:p>
  </w:endnote>
  <w:endnote w:id="4">
    <w:p w14:paraId="72C4A0AE" w14:textId="45BC0AB4" w:rsidR="00DA6CF5" w:rsidRPr="001C1B9C" w:rsidRDefault="00DA6CF5" w:rsidP="002E398D">
      <w:pPr>
        <w:jc w:val="both"/>
        <w:rPr>
          <w:color w:val="000000" w:themeColor="text1"/>
          <w:sz w:val="20"/>
          <w:szCs w:val="20"/>
        </w:rPr>
      </w:pPr>
      <w:r w:rsidRPr="001C1B9C">
        <w:rPr>
          <w:rStyle w:val="EndnoteReference"/>
        </w:rPr>
        <w:endnoteRef/>
      </w:r>
      <w:r w:rsidRPr="001C1B9C">
        <w:t xml:space="preserve"> </w:t>
      </w:r>
      <w:r w:rsidRPr="001C1B9C">
        <w:rPr>
          <w:color w:val="000000" w:themeColor="text1"/>
          <w:sz w:val="20"/>
          <w:szCs w:val="20"/>
        </w:rPr>
        <w:t xml:space="preserve">As per watercourses. Additionally, it supports protection of terrestrial habitats for species of plants and animals (particularly amphibians) whose natural behaviours require both ponds and marginal land habitats.  </w:t>
      </w:r>
    </w:p>
    <w:p w14:paraId="07C89F60" w14:textId="7C5537C1" w:rsidR="00DA6CF5" w:rsidRPr="00DA6CF5" w:rsidRDefault="00DA6CF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85791616"/>
      <w:docPartObj>
        <w:docPartGallery w:val="Page Numbers (Bottom of Page)"/>
        <w:docPartUnique/>
      </w:docPartObj>
    </w:sdtPr>
    <w:sdtContent>
      <w:p w14:paraId="76C098C0" w14:textId="00F19811" w:rsidR="0075121D" w:rsidRPr="001C1B9C" w:rsidRDefault="0075121D" w:rsidP="00020308">
        <w:pPr>
          <w:pStyle w:val="Footer"/>
          <w:framePr w:wrap="none" w:vAnchor="text" w:hAnchor="margin" w:xAlign="center" w:y="1"/>
          <w:rPr>
            <w:rStyle w:val="PageNumber"/>
          </w:rPr>
        </w:pPr>
        <w:r w:rsidRPr="001C1B9C">
          <w:rPr>
            <w:rStyle w:val="PageNumber"/>
          </w:rPr>
          <w:fldChar w:fldCharType="begin"/>
        </w:r>
        <w:r w:rsidRPr="001C1B9C">
          <w:rPr>
            <w:rStyle w:val="PageNumber"/>
          </w:rPr>
          <w:instrText xml:space="preserve"> PAGE </w:instrText>
        </w:r>
        <w:r w:rsidRPr="001C1B9C">
          <w:rPr>
            <w:rStyle w:val="PageNumber"/>
          </w:rPr>
          <w:fldChar w:fldCharType="end"/>
        </w:r>
      </w:p>
    </w:sdtContent>
  </w:sdt>
  <w:p w14:paraId="1B4D1237" w14:textId="77777777" w:rsidR="0075121D" w:rsidRPr="001C1B9C" w:rsidRDefault="0075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6199288"/>
      <w:docPartObj>
        <w:docPartGallery w:val="Page Numbers (Bottom of Page)"/>
        <w:docPartUnique/>
      </w:docPartObj>
    </w:sdtPr>
    <w:sdtContent>
      <w:p w14:paraId="5E985B6A" w14:textId="325FCE72" w:rsidR="0075121D" w:rsidRPr="001C1B9C" w:rsidRDefault="0075121D" w:rsidP="00020308">
        <w:pPr>
          <w:pStyle w:val="Footer"/>
          <w:framePr w:wrap="none" w:vAnchor="text" w:hAnchor="margin" w:xAlign="center" w:y="1"/>
          <w:rPr>
            <w:rStyle w:val="PageNumber"/>
          </w:rPr>
        </w:pPr>
        <w:r w:rsidRPr="001C1B9C">
          <w:rPr>
            <w:rStyle w:val="PageNumber"/>
          </w:rPr>
          <w:fldChar w:fldCharType="begin"/>
        </w:r>
        <w:r w:rsidRPr="001C1B9C">
          <w:rPr>
            <w:rStyle w:val="PageNumber"/>
          </w:rPr>
          <w:instrText xml:space="preserve"> PAGE </w:instrText>
        </w:r>
        <w:r w:rsidRPr="001C1B9C">
          <w:rPr>
            <w:rStyle w:val="PageNumber"/>
          </w:rPr>
          <w:fldChar w:fldCharType="separate"/>
        </w:r>
        <w:r w:rsidRPr="001C1B9C">
          <w:rPr>
            <w:rStyle w:val="PageNumber"/>
          </w:rPr>
          <w:t>1</w:t>
        </w:r>
        <w:r w:rsidRPr="001C1B9C">
          <w:rPr>
            <w:rStyle w:val="PageNumber"/>
          </w:rPr>
          <w:fldChar w:fldCharType="end"/>
        </w:r>
      </w:p>
    </w:sdtContent>
  </w:sdt>
  <w:p w14:paraId="59243F2C" w14:textId="77777777" w:rsidR="0075121D" w:rsidRPr="001C1B9C" w:rsidRDefault="00751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7FB99" w14:textId="77777777" w:rsidR="00972B5A" w:rsidRPr="001C1B9C" w:rsidRDefault="0097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C2BFB" w14:textId="77777777" w:rsidR="009B5A19" w:rsidRPr="001C1B9C" w:rsidRDefault="009B5A19" w:rsidP="0014166B">
      <w:r w:rsidRPr="001C1B9C">
        <w:separator/>
      </w:r>
    </w:p>
  </w:footnote>
  <w:footnote w:type="continuationSeparator" w:id="0">
    <w:p w14:paraId="407CFD4C" w14:textId="77777777" w:rsidR="009B5A19" w:rsidRPr="001C1B9C" w:rsidRDefault="009B5A19" w:rsidP="0014166B">
      <w:r w:rsidRPr="001C1B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B250F" w14:textId="2218ECF1" w:rsidR="00F1092D" w:rsidRPr="001C1B9C" w:rsidRDefault="00F10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5E11E" w14:textId="3146A4DB" w:rsidR="002D1B73" w:rsidRPr="001C1B9C" w:rsidRDefault="002D1B73" w:rsidP="00141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333F1" w14:textId="35F8BA89" w:rsidR="00F1092D" w:rsidRPr="001C1B9C" w:rsidRDefault="00F1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07352"/>
    <w:multiLevelType w:val="multilevel"/>
    <w:tmpl w:val="B980D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03025"/>
    <w:multiLevelType w:val="hybridMultilevel"/>
    <w:tmpl w:val="C95A2370"/>
    <w:lvl w:ilvl="0" w:tplc="0809000F">
      <w:start w:val="1"/>
      <w:numFmt w:val="decimal"/>
      <w:lvlText w:val="%1."/>
      <w:lvlJc w:val="left"/>
      <w:pPr>
        <w:ind w:left="1429" w:hanging="360"/>
      </w:pPr>
      <w:rPr>
        <w:rFonts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AD4489"/>
    <w:multiLevelType w:val="hybridMultilevel"/>
    <w:tmpl w:val="017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460C"/>
    <w:multiLevelType w:val="hybridMultilevel"/>
    <w:tmpl w:val="BA722AA8"/>
    <w:lvl w:ilvl="0" w:tplc="08090001">
      <w:start w:val="1"/>
      <w:numFmt w:val="bullet"/>
      <w:lvlText w:val=""/>
      <w:lvlJc w:val="left"/>
      <w:pPr>
        <w:ind w:left="1080" w:hanging="360"/>
      </w:pPr>
      <w:rPr>
        <w:rFonts w:ascii="Symbol" w:hAnsi="Symbol" w:hint="default"/>
        <w:color w:val="000000" w:themeColor="text1"/>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FBA7581"/>
    <w:multiLevelType w:val="hybridMultilevel"/>
    <w:tmpl w:val="600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F661D"/>
    <w:multiLevelType w:val="multilevel"/>
    <w:tmpl w:val="865CF8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E0F62"/>
    <w:multiLevelType w:val="hybridMultilevel"/>
    <w:tmpl w:val="9A08A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543E21"/>
    <w:multiLevelType w:val="hybridMultilevel"/>
    <w:tmpl w:val="72CC7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7E0573"/>
    <w:multiLevelType w:val="multilevel"/>
    <w:tmpl w:val="8234A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57160EE"/>
    <w:multiLevelType w:val="hybridMultilevel"/>
    <w:tmpl w:val="4422309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3E0789"/>
    <w:multiLevelType w:val="hybridMultilevel"/>
    <w:tmpl w:val="6C42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F04AA"/>
    <w:multiLevelType w:val="hybridMultilevel"/>
    <w:tmpl w:val="8612C038"/>
    <w:lvl w:ilvl="0" w:tplc="D7A0A5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52C8E"/>
    <w:multiLevelType w:val="multilevel"/>
    <w:tmpl w:val="1EFA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60041"/>
    <w:multiLevelType w:val="hybridMultilevel"/>
    <w:tmpl w:val="F5DC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03571"/>
    <w:multiLevelType w:val="hybridMultilevel"/>
    <w:tmpl w:val="F86E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830DC"/>
    <w:multiLevelType w:val="hybridMultilevel"/>
    <w:tmpl w:val="0C104496"/>
    <w:lvl w:ilvl="0" w:tplc="9B940F8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986466">
    <w:abstractNumId w:val="15"/>
  </w:num>
  <w:num w:numId="2" w16cid:durableId="470633723">
    <w:abstractNumId w:val="2"/>
  </w:num>
  <w:num w:numId="3" w16cid:durableId="915630960">
    <w:abstractNumId w:val="0"/>
  </w:num>
  <w:num w:numId="4" w16cid:durableId="1213955717">
    <w:abstractNumId w:val="5"/>
  </w:num>
  <w:num w:numId="5" w16cid:durableId="142042088">
    <w:abstractNumId w:val="12"/>
  </w:num>
  <w:num w:numId="6" w16cid:durableId="1229880658">
    <w:abstractNumId w:val="4"/>
  </w:num>
  <w:num w:numId="7" w16cid:durableId="274337282">
    <w:abstractNumId w:val="1"/>
  </w:num>
  <w:num w:numId="8" w16cid:durableId="833911372">
    <w:abstractNumId w:val="8"/>
  </w:num>
  <w:num w:numId="9" w16cid:durableId="165247570">
    <w:abstractNumId w:val="13"/>
  </w:num>
  <w:num w:numId="10" w16cid:durableId="1457598851">
    <w:abstractNumId w:val="9"/>
  </w:num>
  <w:num w:numId="11" w16cid:durableId="501624924">
    <w:abstractNumId w:val="14"/>
  </w:num>
  <w:num w:numId="12" w16cid:durableId="1118794859">
    <w:abstractNumId w:val="11"/>
  </w:num>
  <w:num w:numId="13" w16cid:durableId="902718565">
    <w:abstractNumId w:val="6"/>
  </w:num>
  <w:num w:numId="14" w16cid:durableId="1886600201">
    <w:abstractNumId w:val="7"/>
  </w:num>
  <w:num w:numId="15" w16cid:durableId="2073262680">
    <w:abstractNumId w:val="3"/>
  </w:num>
  <w:num w:numId="16" w16cid:durableId="573861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71"/>
    <w:rsid w:val="000179A1"/>
    <w:rsid w:val="00031AF0"/>
    <w:rsid w:val="00036CBF"/>
    <w:rsid w:val="00040D84"/>
    <w:rsid w:val="00045882"/>
    <w:rsid w:val="0005675B"/>
    <w:rsid w:val="000A2B1A"/>
    <w:rsid w:val="000B66A0"/>
    <w:rsid w:val="000B7A5A"/>
    <w:rsid w:val="000C670E"/>
    <w:rsid w:val="000D3613"/>
    <w:rsid w:val="001254C2"/>
    <w:rsid w:val="00125E72"/>
    <w:rsid w:val="0014166B"/>
    <w:rsid w:val="0016353E"/>
    <w:rsid w:val="001656DD"/>
    <w:rsid w:val="001B0FCB"/>
    <w:rsid w:val="001C1B9C"/>
    <w:rsid w:val="00202B0F"/>
    <w:rsid w:val="00221689"/>
    <w:rsid w:val="00260488"/>
    <w:rsid w:val="00276229"/>
    <w:rsid w:val="00284A96"/>
    <w:rsid w:val="0029120E"/>
    <w:rsid w:val="002A1992"/>
    <w:rsid w:val="002B4A1C"/>
    <w:rsid w:val="002C52A1"/>
    <w:rsid w:val="002D1B73"/>
    <w:rsid w:val="002E398D"/>
    <w:rsid w:val="00323054"/>
    <w:rsid w:val="003426C7"/>
    <w:rsid w:val="0034531C"/>
    <w:rsid w:val="003B047C"/>
    <w:rsid w:val="003B1598"/>
    <w:rsid w:val="003B25DC"/>
    <w:rsid w:val="003C1313"/>
    <w:rsid w:val="003C5D8D"/>
    <w:rsid w:val="003C6F8D"/>
    <w:rsid w:val="00425C71"/>
    <w:rsid w:val="00453F46"/>
    <w:rsid w:val="00470246"/>
    <w:rsid w:val="004748FE"/>
    <w:rsid w:val="00481909"/>
    <w:rsid w:val="00487D28"/>
    <w:rsid w:val="004919A6"/>
    <w:rsid w:val="00496858"/>
    <w:rsid w:val="004B5BA2"/>
    <w:rsid w:val="004B72F0"/>
    <w:rsid w:val="004E4EE6"/>
    <w:rsid w:val="004F3DB9"/>
    <w:rsid w:val="005016AD"/>
    <w:rsid w:val="00503921"/>
    <w:rsid w:val="00533D1F"/>
    <w:rsid w:val="00543734"/>
    <w:rsid w:val="00565C3D"/>
    <w:rsid w:val="00571215"/>
    <w:rsid w:val="005718D3"/>
    <w:rsid w:val="005822FD"/>
    <w:rsid w:val="005A10C8"/>
    <w:rsid w:val="005C3DC0"/>
    <w:rsid w:val="005E7301"/>
    <w:rsid w:val="00606241"/>
    <w:rsid w:val="006936FC"/>
    <w:rsid w:val="006B1B2C"/>
    <w:rsid w:val="006B41DC"/>
    <w:rsid w:val="006C22AE"/>
    <w:rsid w:val="006D04D2"/>
    <w:rsid w:val="006D4059"/>
    <w:rsid w:val="006E07B8"/>
    <w:rsid w:val="006E32DD"/>
    <w:rsid w:val="006E538B"/>
    <w:rsid w:val="006F46D0"/>
    <w:rsid w:val="00724367"/>
    <w:rsid w:val="00742671"/>
    <w:rsid w:val="0075121D"/>
    <w:rsid w:val="007536DA"/>
    <w:rsid w:val="00753D1A"/>
    <w:rsid w:val="007E2CAB"/>
    <w:rsid w:val="00806765"/>
    <w:rsid w:val="00816A69"/>
    <w:rsid w:val="008202DE"/>
    <w:rsid w:val="008408C1"/>
    <w:rsid w:val="00842FE9"/>
    <w:rsid w:val="00845102"/>
    <w:rsid w:val="00855DBC"/>
    <w:rsid w:val="00860444"/>
    <w:rsid w:val="00862F5E"/>
    <w:rsid w:val="00871637"/>
    <w:rsid w:val="00874730"/>
    <w:rsid w:val="00877144"/>
    <w:rsid w:val="008811CF"/>
    <w:rsid w:val="00896702"/>
    <w:rsid w:val="008A23C8"/>
    <w:rsid w:val="008A5D5A"/>
    <w:rsid w:val="008B65DC"/>
    <w:rsid w:val="008B7EC7"/>
    <w:rsid w:val="008C3FCE"/>
    <w:rsid w:val="009217A8"/>
    <w:rsid w:val="00931005"/>
    <w:rsid w:val="00932E2C"/>
    <w:rsid w:val="00933479"/>
    <w:rsid w:val="00940E40"/>
    <w:rsid w:val="00956628"/>
    <w:rsid w:val="00961072"/>
    <w:rsid w:val="00964EA0"/>
    <w:rsid w:val="00972B5A"/>
    <w:rsid w:val="009943F1"/>
    <w:rsid w:val="009956A9"/>
    <w:rsid w:val="009B3B3E"/>
    <w:rsid w:val="009B5A19"/>
    <w:rsid w:val="009E00D1"/>
    <w:rsid w:val="00A52D8F"/>
    <w:rsid w:val="00AB11DF"/>
    <w:rsid w:val="00AD0F3B"/>
    <w:rsid w:val="00AE01C4"/>
    <w:rsid w:val="00AE3C58"/>
    <w:rsid w:val="00AE5DC7"/>
    <w:rsid w:val="00B03883"/>
    <w:rsid w:val="00B219E7"/>
    <w:rsid w:val="00B26619"/>
    <w:rsid w:val="00B81B0F"/>
    <w:rsid w:val="00B848F2"/>
    <w:rsid w:val="00BA1A13"/>
    <w:rsid w:val="00BC6645"/>
    <w:rsid w:val="00BD02D6"/>
    <w:rsid w:val="00BD4A8C"/>
    <w:rsid w:val="00BE5C89"/>
    <w:rsid w:val="00C07361"/>
    <w:rsid w:val="00C369F3"/>
    <w:rsid w:val="00C9405D"/>
    <w:rsid w:val="00CC3B7E"/>
    <w:rsid w:val="00D22484"/>
    <w:rsid w:val="00D406BE"/>
    <w:rsid w:val="00D55917"/>
    <w:rsid w:val="00D55CF2"/>
    <w:rsid w:val="00D611CD"/>
    <w:rsid w:val="00D668B2"/>
    <w:rsid w:val="00D71AB4"/>
    <w:rsid w:val="00D9081B"/>
    <w:rsid w:val="00D961E9"/>
    <w:rsid w:val="00D96AD1"/>
    <w:rsid w:val="00DA5A01"/>
    <w:rsid w:val="00DA6CF5"/>
    <w:rsid w:val="00DB7818"/>
    <w:rsid w:val="00DD6867"/>
    <w:rsid w:val="00DE678E"/>
    <w:rsid w:val="00E46CED"/>
    <w:rsid w:val="00ED5A64"/>
    <w:rsid w:val="00EE2656"/>
    <w:rsid w:val="00EE2EA0"/>
    <w:rsid w:val="00EE37BB"/>
    <w:rsid w:val="00F1092D"/>
    <w:rsid w:val="00F50819"/>
    <w:rsid w:val="00F60033"/>
    <w:rsid w:val="00F876E2"/>
    <w:rsid w:val="00F97CCF"/>
    <w:rsid w:val="00FA6B70"/>
    <w:rsid w:val="00FE1AB7"/>
    <w:rsid w:val="00FF0229"/>
    <w:rsid w:val="00FF2ACB"/>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871FC"/>
  <w15:chartTrackingRefBased/>
  <w15:docId w15:val="{7B910D9C-9BB2-D649-9F28-6AB827F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66B"/>
    <w:pPr>
      <w:tabs>
        <w:tab w:val="center" w:pos="4513"/>
        <w:tab w:val="right" w:pos="9026"/>
      </w:tabs>
    </w:pPr>
  </w:style>
  <w:style w:type="character" w:customStyle="1" w:styleId="HeaderChar">
    <w:name w:val="Header Char"/>
    <w:basedOn w:val="DefaultParagraphFont"/>
    <w:link w:val="Header"/>
    <w:uiPriority w:val="99"/>
    <w:rsid w:val="0014166B"/>
  </w:style>
  <w:style w:type="paragraph" w:styleId="Footer">
    <w:name w:val="footer"/>
    <w:basedOn w:val="Normal"/>
    <w:link w:val="FooterChar"/>
    <w:uiPriority w:val="99"/>
    <w:unhideWhenUsed/>
    <w:rsid w:val="0014166B"/>
    <w:pPr>
      <w:tabs>
        <w:tab w:val="center" w:pos="4513"/>
        <w:tab w:val="right" w:pos="9026"/>
      </w:tabs>
    </w:pPr>
  </w:style>
  <w:style w:type="character" w:customStyle="1" w:styleId="FooterChar">
    <w:name w:val="Footer Char"/>
    <w:basedOn w:val="DefaultParagraphFont"/>
    <w:link w:val="Footer"/>
    <w:uiPriority w:val="99"/>
    <w:rsid w:val="0014166B"/>
  </w:style>
  <w:style w:type="paragraph" w:styleId="NormalWeb">
    <w:name w:val="Normal (Web)"/>
    <w:basedOn w:val="Normal"/>
    <w:uiPriority w:val="99"/>
    <w:unhideWhenUsed/>
    <w:rsid w:val="006E538B"/>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5121D"/>
  </w:style>
  <w:style w:type="paragraph" w:styleId="ListParagraph">
    <w:name w:val="List Paragraph"/>
    <w:basedOn w:val="Normal"/>
    <w:uiPriority w:val="34"/>
    <w:qFormat/>
    <w:rsid w:val="00202B0F"/>
    <w:pPr>
      <w:ind w:left="720"/>
      <w:contextualSpacing/>
    </w:pPr>
  </w:style>
  <w:style w:type="paragraph" w:styleId="Revision">
    <w:name w:val="Revision"/>
    <w:hidden/>
    <w:uiPriority w:val="99"/>
    <w:semiHidden/>
    <w:rsid w:val="00CC3B7E"/>
  </w:style>
  <w:style w:type="character" w:styleId="CommentReference">
    <w:name w:val="annotation reference"/>
    <w:basedOn w:val="DefaultParagraphFont"/>
    <w:uiPriority w:val="99"/>
    <w:semiHidden/>
    <w:unhideWhenUsed/>
    <w:rsid w:val="004B5BA2"/>
    <w:rPr>
      <w:sz w:val="16"/>
      <w:szCs w:val="16"/>
    </w:rPr>
  </w:style>
  <w:style w:type="paragraph" w:styleId="CommentText">
    <w:name w:val="annotation text"/>
    <w:basedOn w:val="Normal"/>
    <w:link w:val="CommentTextChar"/>
    <w:uiPriority w:val="99"/>
    <w:semiHidden/>
    <w:unhideWhenUsed/>
    <w:rsid w:val="004B5BA2"/>
    <w:rPr>
      <w:sz w:val="20"/>
      <w:szCs w:val="20"/>
    </w:rPr>
  </w:style>
  <w:style w:type="character" w:customStyle="1" w:styleId="CommentTextChar">
    <w:name w:val="Comment Text Char"/>
    <w:basedOn w:val="DefaultParagraphFont"/>
    <w:link w:val="CommentText"/>
    <w:uiPriority w:val="99"/>
    <w:semiHidden/>
    <w:rsid w:val="004B5BA2"/>
    <w:rPr>
      <w:sz w:val="20"/>
      <w:szCs w:val="20"/>
    </w:rPr>
  </w:style>
  <w:style w:type="paragraph" w:styleId="CommentSubject">
    <w:name w:val="annotation subject"/>
    <w:basedOn w:val="CommentText"/>
    <w:next w:val="CommentText"/>
    <w:link w:val="CommentSubjectChar"/>
    <w:uiPriority w:val="99"/>
    <w:semiHidden/>
    <w:unhideWhenUsed/>
    <w:rsid w:val="004B5BA2"/>
    <w:rPr>
      <w:b/>
      <w:bCs/>
    </w:rPr>
  </w:style>
  <w:style w:type="character" w:customStyle="1" w:styleId="CommentSubjectChar">
    <w:name w:val="Comment Subject Char"/>
    <w:basedOn w:val="CommentTextChar"/>
    <w:link w:val="CommentSubject"/>
    <w:uiPriority w:val="99"/>
    <w:semiHidden/>
    <w:rsid w:val="004B5BA2"/>
    <w:rPr>
      <w:b/>
      <w:bCs/>
      <w:sz w:val="20"/>
      <w:szCs w:val="20"/>
    </w:rPr>
  </w:style>
  <w:style w:type="paragraph" w:styleId="FootnoteText">
    <w:name w:val="footnote text"/>
    <w:basedOn w:val="Normal"/>
    <w:link w:val="FootnoteTextChar"/>
    <w:uiPriority w:val="99"/>
    <w:semiHidden/>
    <w:unhideWhenUsed/>
    <w:rsid w:val="00D406BE"/>
    <w:rPr>
      <w:sz w:val="20"/>
      <w:szCs w:val="20"/>
    </w:rPr>
  </w:style>
  <w:style w:type="character" w:customStyle="1" w:styleId="FootnoteTextChar">
    <w:name w:val="Footnote Text Char"/>
    <w:basedOn w:val="DefaultParagraphFont"/>
    <w:link w:val="FootnoteText"/>
    <w:uiPriority w:val="99"/>
    <w:semiHidden/>
    <w:rsid w:val="00D406BE"/>
    <w:rPr>
      <w:sz w:val="20"/>
      <w:szCs w:val="20"/>
    </w:rPr>
  </w:style>
  <w:style w:type="character" w:styleId="FootnoteReference">
    <w:name w:val="footnote reference"/>
    <w:basedOn w:val="DefaultParagraphFont"/>
    <w:uiPriority w:val="99"/>
    <w:semiHidden/>
    <w:unhideWhenUsed/>
    <w:rsid w:val="00D406BE"/>
    <w:rPr>
      <w:vertAlign w:val="superscript"/>
    </w:rPr>
  </w:style>
  <w:style w:type="paragraph" w:styleId="EndnoteText">
    <w:name w:val="endnote text"/>
    <w:basedOn w:val="Normal"/>
    <w:link w:val="EndnoteTextChar"/>
    <w:uiPriority w:val="99"/>
    <w:semiHidden/>
    <w:unhideWhenUsed/>
    <w:rsid w:val="00DA6CF5"/>
    <w:rPr>
      <w:sz w:val="20"/>
      <w:szCs w:val="20"/>
    </w:rPr>
  </w:style>
  <w:style w:type="character" w:customStyle="1" w:styleId="EndnoteTextChar">
    <w:name w:val="Endnote Text Char"/>
    <w:basedOn w:val="DefaultParagraphFont"/>
    <w:link w:val="EndnoteText"/>
    <w:uiPriority w:val="99"/>
    <w:semiHidden/>
    <w:rsid w:val="00DA6CF5"/>
    <w:rPr>
      <w:sz w:val="20"/>
      <w:szCs w:val="20"/>
    </w:rPr>
  </w:style>
  <w:style w:type="character" w:styleId="EndnoteReference">
    <w:name w:val="endnote reference"/>
    <w:basedOn w:val="DefaultParagraphFont"/>
    <w:uiPriority w:val="99"/>
    <w:semiHidden/>
    <w:unhideWhenUsed/>
    <w:rsid w:val="00DA6CF5"/>
    <w:rPr>
      <w:vertAlign w:val="superscript"/>
    </w:rPr>
  </w:style>
  <w:style w:type="character" w:styleId="Hyperlink">
    <w:name w:val="Hyperlink"/>
    <w:basedOn w:val="DefaultParagraphFont"/>
    <w:uiPriority w:val="99"/>
    <w:unhideWhenUsed/>
    <w:rsid w:val="006D4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805976">
      <w:bodyDiv w:val="1"/>
      <w:marLeft w:val="0"/>
      <w:marRight w:val="0"/>
      <w:marTop w:val="0"/>
      <w:marBottom w:val="0"/>
      <w:divBdr>
        <w:top w:val="none" w:sz="0" w:space="0" w:color="auto"/>
        <w:left w:val="none" w:sz="0" w:space="0" w:color="auto"/>
        <w:bottom w:val="none" w:sz="0" w:space="0" w:color="auto"/>
        <w:right w:val="none" w:sz="0" w:space="0" w:color="auto"/>
      </w:divBdr>
      <w:divsChild>
        <w:div w:id="270018894">
          <w:marLeft w:val="0"/>
          <w:marRight w:val="0"/>
          <w:marTop w:val="0"/>
          <w:marBottom w:val="0"/>
          <w:divBdr>
            <w:top w:val="none" w:sz="0" w:space="0" w:color="auto"/>
            <w:left w:val="none" w:sz="0" w:space="0" w:color="auto"/>
            <w:bottom w:val="none" w:sz="0" w:space="0" w:color="auto"/>
            <w:right w:val="none" w:sz="0" w:space="0" w:color="auto"/>
          </w:divBdr>
          <w:divsChild>
            <w:div w:id="1963488825">
              <w:marLeft w:val="0"/>
              <w:marRight w:val="0"/>
              <w:marTop w:val="0"/>
              <w:marBottom w:val="0"/>
              <w:divBdr>
                <w:top w:val="none" w:sz="0" w:space="0" w:color="auto"/>
                <w:left w:val="none" w:sz="0" w:space="0" w:color="auto"/>
                <w:bottom w:val="none" w:sz="0" w:space="0" w:color="auto"/>
                <w:right w:val="none" w:sz="0" w:space="0" w:color="auto"/>
              </w:divBdr>
              <w:divsChild>
                <w:div w:id="1280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8039">
      <w:bodyDiv w:val="1"/>
      <w:marLeft w:val="0"/>
      <w:marRight w:val="0"/>
      <w:marTop w:val="0"/>
      <w:marBottom w:val="0"/>
      <w:divBdr>
        <w:top w:val="none" w:sz="0" w:space="0" w:color="auto"/>
        <w:left w:val="none" w:sz="0" w:space="0" w:color="auto"/>
        <w:bottom w:val="none" w:sz="0" w:space="0" w:color="auto"/>
        <w:right w:val="none" w:sz="0" w:space="0" w:color="auto"/>
      </w:divBdr>
      <w:divsChild>
        <w:div w:id="17390580">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sChild>
                <w:div w:id="10316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073">
      <w:bodyDiv w:val="1"/>
      <w:marLeft w:val="0"/>
      <w:marRight w:val="0"/>
      <w:marTop w:val="0"/>
      <w:marBottom w:val="0"/>
      <w:divBdr>
        <w:top w:val="none" w:sz="0" w:space="0" w:color="auto"/>
        <w:left w:val="none" w:sz="0" w:space="0" w:color="auto"/>
        <w:bottom w:val="none" w:sz="0" w:space="0" w:color="auto"/>
        <w:right w:val="none" w:sz="0" w:space="0" w:color="auto"/>
      </w:divBdr>
      <w:divsChild>
        <w:div w:id="9836090">
          <w:marLeft w:val="0"/>
          <w:marRight w:val="0"/>
          <w:marTop w:val="0"/>
          <w:marBottom w:val="0"/>
          <w:divBdr>
            <w:top w:val="none" w:sz="0" w:space="0" w:color="auto"/>
            <w:left w:val="none" w:sz="0" w:space="0" w:color="auto"/>
            <w:bottom w:val="none" w:sz="0" w:space="0" w:color="auto"/>
            <w:right w:val="none" w:sz="0" w:space="0" w:color="auto"/>
          </w:divBdr>
          <w:divsChild>
            <w:div w:id="53045842">
              <w:marLeft w:val="0"/>
              <w:marRight w:val="0"/>
              <w:marTop w:val="0"/>
              <w:marBottom w:val="0"/>
              <w:divBdr>
                <w:top w:val="none" w:sz="0" w:space="0" w:color="auto"/>
                <w:left w:val="none" w:sz="0" w:space="0" w:color="auto"/>
                <w:bottom w:val="none" w:sz="0" w:space="0" w:color="auto"/>
                <w:right w:val="none" w:sz="0" w:space="0" w:color="auto"/>
              </w:divBdr>
              <w:divsChild>
                <w:div w:id="4722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4221">
      <w:bodyDiv w:val="1"/>
      <w:marLeft w:val="0"/>
      <w:marRight w:val="0"/>
      <w:marTop w:val="0"/>
      <w:marBottom w:val="0"/>
      <w:divBdr>
        <w:top w:val="none" w:sz="0" w:space="0" w:color="auto"/>
        <w:left w:val="none" w:sz="0" w:space="0" w:color="auto"/>
        <w:bottom w:val="none" w:sz="0" w:space="0" w:color="auto"/>
        <w:right w:val="none" w:sz="0" w:space="0" w:color="auto"/>
      </w:divBdr>
      <w:divsChild>
        <w:div w:id="1950038599">
          <w:marLeft w:val="0"/>
          <w:marRight w:val="0"/>
          <w:marTop w:val="0"/>
          <w:marBottom w:val="0"/>
          <w:divBdr>
            <w:top w:val="none" w:sz="0" w:space="0" w:color="auto"/>
            <w:left w:val="none" w:sz="0" w:space="0" w:color="auto"/>
            <w:bottom w:val="none" w:sz="0" w:space="0" w:color="auto"/>
            <w:right w:val="none" w:sz="0" w:space="0" w:color="auto"/>
          </w:divBdr>
          <w:divsChild>
            <w:div w:id="479418314">
              <w:marLeft w:val="0"/>
              <w:marRight w:val="0"/>
              <w:marTop w:val="0"/>
              <w:marBottom w:val="0"/>
              <w:divBdr>
                <w:top w:val="none" w:sz="0" w:space="0" w:color="auto"/>
                <w:left w:val="none" w:sz="0" w:space="0" w:color="auto"/>
                <w:bottom w:val="none" w:sz="0" w:space="0" w:color="auto"/>
                <w:right w:val="none" w:sz="0" w:space="0" w:color="auto"/>
              </w:divBdr>
              <w:divsChild>
                <w:div w:id="915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4282">
      <w:bodyDiv w:val="1"/>
      <w:marLeft w:val="0"/>
      <w:marRight w:val="0"/>
      <w:marTop w:val="0"/>
      <w:marBottom w:val="0"/>
      <w:divBdr>
        <w:top w:val="none" w:sz="0" w:space="0" w:color="auto"/>
        <w:left w:val="none" w:sz="0" w:space="0" w:color="auto"/>
        <w:bottom w:val="none" w:sz="0" w:space="0" w:color="auto"/>
        <w:right w:val="none" w:sz="0" w:space="0" w:color="auto"/>
      </w:divBdr>
      <w:divsChild>
        <w:div w:id="1414815437">
          <w:marLeft w:val="0"/>
          <w:marRight w:val="0"/>
          <w:marTop w:val="0"/>
          <w:marBottom w:val="0"/>
          <w:divBdr>
            <w:top w:val="none" w:sz="0" w:space="0" w:color="auto"/>
            <w:left w:val="none" w:sz="0" w:space="0" w:color="auto"/>
            <w:bottom w:val="none" w:sz="0" w:space="0" w:color="auto"/>
            <w:right w:val="none" w:sz="0" w:space="0" w:color="auto"/>
          </w:divBdr>
          <w:divsChild>
            <w:div w:id="1211838640">
              <w:marLeft w:val="0"/>
              <w:marRight w:val="0"/>
              <w:marTop w:val="0"/>
              <w:marBottom w:val="0"/>
              <w:divBdr>
                <w:top w:val="none" w:sz="0" w:space="0" w:color="auto"/>
                <w:left w:val="none" w:sz="0" w:space="0" w:color="auto"/>
                <w:bottom w:val="none" w:sz="0" w:space="0" w:color="auto"/>
                <w:right w:val="none" w:sz="0" w:space="0" w:color="auto"/>
              </w:divBdr>
              <w:divsChild>
                <w:div w:id="4296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3178">
      <w:bodyDiv w:val="1"/>
      <w:marLeft w:val="0"/>
      <w:marRight w:val="0"/>
      <w:marTop w:val="0"/>
      <w:marBottom w:val="0"/>
      <w:divBdr>
        <w:top w:val="none" w:sz="0" w:space="0" w:color="auto"/>
        <w:left w:val="none" w:sz="0" w:space="0" w:color="auto"/>
        <w:bottom w:val="none" w:sz="0" w:space="0" w:color="auto"/>
        <w:right w:val="none" w:sz="0" w:space="0" w:color="auto"/>
      </w:divBdr>
      <w:divsChild>
        <w:div w:id="230043975">
          <w:marLeft w:val="0"/>
          <w:marRight w:val="0"/>
          <w:marTop w:val="0"/>
          <w:marBottom w:val="0"/>
          <w:divBdr>
            <w:top w:val="none" w:sz="0" w:space="0" w:color="auto"/>
            <w:left w:val="none" w:sz="0" w:space="0" w:color="auto"/>
            <w:bottom w:val="none" w:sz="0" w:space="0" w:color="auto"/>
            <w:right w:val="none" w:sz="0" w:space="0" w:color="auto"/>
          </w:divBdr>
          <w:divsChild>
            <w:div w:id="1251623511">
              <w:marLeft w:val="0"/>
              <w:marRight w:val="0"/>
              <w:marTop w:val="0"/>
              <w:marBottom w:val="0"/>
              <w:divBdr>
                <w:top w:val="none" w:sz="0" w:space="0" w:color="auto"/>
                <w:left w:val="none" w:sz="0" w:space="0" w:color="auto"/>
                <w:bottom w:val="none" w:sz="0" w:space="0" w:color="auto"/>
                <w:right w:val="none" w:sz="0" w:space="0" w:color="auto"/>
              </w:divBdr>
              <w:divsChild>
                <w:div w:id="780762032">
                  <w:marLeft w:val="0"/>
                  <w:marRight w:val="0"/>
                  <w:marTop w:val="0"/>
                  <w:marBottom w:val="0"/>
                  <w:divBdr>
                    <w:top w:val="none" w:sz="0" w:space="0" w:color="auto"/>
                    <w:left w:val="none" w:sz="0" w:space="0" w:color="auto"/>
                    <w:bottom w:val="none" w:sz="0" w:space="0" w:color="auto"/>
                    <w:right w:val="none" w:sz="0" w:space="0" w:color="auto"/>
                  </w:divBdr>
                  <w:divsChild>
                    <w:div w:id="636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mentbasedapproach.org/learn/chalk-stream-strategy-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6567-4AE4-E845-8FE9-C0DE8C56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Basingstoke</dc:creator>
  <cp:keywords/>
  <dc:description/>
  <cp:lastModifiedBy>Harrison, Niamh</cp:lastModifiedBy>
  <cp:revision>2</cp:revision>
  <dcterms:created xsi:type="dcterms:W3CDTF">2024-02-28T17:58:00Z</dcterms:created>
  <dcterms:modified xsi:type="dcterms:W3CDTF">2024-02-28T17:58:00Z</dcterms:modified>
</cp:coreProperties>
</file>